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F3F00" w:rsidRPr="00CC31AC" w:rsidRDefault="006F3F00" w:rsidP="006F3F00">
      <w:pPr>
        <w:ind w:left="2268" w:right="1558"/>
        <w:jc w:val="both"/>
        <w:rPr>
          <w:rFonts w:ascii="Tahoma" w:hAnsi="Tahoma" w:cs="Tahoma"/>
          <w:i/>
          <w:sz w:val="21"/>
          <w:szCs w:val="21"/>
        </w:rPr>
      </w:pPr>
      <w:r w:rsidRPr="00CC31AC">
        <w:rPr>
          <w:rFonts w:ascii="Tahoma" w:hAnsi="Tahoma" w:cs="Tahoma"/>
          <w:b/>
          <w:i/>
          <w:sz w:val="21"/>
          <w:szCs w:val="21"/>
        </w:rPr>
        <w:t>Sumilla:</w:t>
      </w:r>
      <w:r w:rsidRPr="00CC31AC">
        <w:rPr>
          <w:rFonts w:ascii="Tahoma" w:hAnsi="Tahoma" w:cs="Tahoma"/>
          <w:i/>
          <w:sz w:val="21"/>
          <w:szCs w:val="21"/>
        </w:rPr>
        <w:t xml:space="preserve"> “</w:t>
      </w:r>
      <w:r w:rsidR="00CC31AC">
        <w:rPr>
          <w:rFonts w:ascii="Tahoma" w:hAnsi="Tahoma" w:cs="Tahoma"/>
          <w:i/>
          <w:sz w:val="21"/>
          <w:szCs w:val="21"/>
        </w:rPr>
        <w:t>Atendiendo a que no existe en el expediente medio probatorio alguno</w:t>
      </w:r>
      <w:r w:rsidR="00A96CDF">
        <w:rPr>
          <w:rFonts w:ascii="Tahoma" w:hAnsi="Tahoma" w:cs="Tahoma"/>
          <w:i/>
          <w:sz w:val="21"/>
          <w:szCs w:val="21"/>
        </w:rPr>
        <w:t>, aportado por el contratista,</w:t>
      </w:r>
      <w:r w:rsidR="00CC31AC">
        <w:rPr>
          <w:rFonts w:ascii="Tahoma" w:hAnsi="Tahoma" w:cs="Tahoma"/>
          <w:i/>
          <w:sz w:val="21"/>
          <w:szCs w:val="21"/>
        </w:rPr>
        <w:t xml:space="preserve"> </w:t>
      </w:r>
      <w:r w:rsidR="00A96CDF">
        <w:rPr>
          <w:rFonts w:ascii="Tahoma" w:hAnsi="Tahoma" w:cs="Tahoma"/>
          <w:i/>
          <w:sz w:val="21"/>
          <w:szCs w:val="21"/>
        </w:rPr>
        <w:t xml:space="preserve">a modo de descargos, aun cuando estuvo correctamente notificada, </w:t>
      </w:r>
      <w:r w:rsidR="00CC31AC">
        <w:rPr>
          <w:rFonts w:ascii="Tahoma" w:hAnsi="Tahoma" w:cs="Tahoma"/>
          <w:i/>
          <w:sz w:val="21"/>
          <w:szCs w:val="21"/>
        </w:rPr>
        <w:t>que justifique el incumplimiento de las obligaciones contraídas con la Entidad</w:t>
      </w:r>
      <w:r w:rsidR="00A96CDF">
        <w:rPr>
          <w:rFonts w:ascii="Tahoma" w:hAnsi="Tahoma" w:cs="Tahoma"/>
          <w:i/>
          <w:sz w:val="21"/>
          <w:szCs w:val="21"/>
        </w:rPr>
        <w:t>, corresponde aplicarle la sanción respectiva.</w:t>
      </w:r>
    </w:p>
    <w:p w:rsidR="006F3F00" w:rsidRPr="00CC31AC" w:rsidRDefault="006F3F00" w:rsidP="006F3F00">
      <w:pPr>
        <w:pStyle w:val="Textoindependiente3"/>
        <w:spacing w:after="0"/>
        <w:rPr>
          <w:rFonts w:ascii="Tahoma" w:hAnsi="Tahoma" w:cs="Tahoma"/>
          <w:i/>
          <w:sz w:val="21"/>
          <w:szCs w:val="21"/>
          <w:lang w:val="es-ES"/>
        </w:rPr>
      </w:pPr>
    </w:p>
    <w:p w:rsidR="006F3F00" w:rsidRPr="00CC31AC" w:rsidRDefault="006F3F00" w:rsidP="006F3F00">
      <w:pPr>
        <w:pStyle w:val="Textoindependiente3"/>
        <w:spacing w:after="0"/>
        <w:ind w:left="5387"/>
        <w:jc w:val="both"/>
        <w:rPr>
          <w:rFonts w:ascii="Tahoma" w:hAnsi="Tahoma" w:cs="Tahoma"/>
          <w:b/>
          <w:sz w:val="21"/>
          <w:szCs w:val="21"/>
        </w:rPr>
      </w:pPr>
      <w:r w:rsidRPr="00CC31AC">
        <w:rPr>
          <w:rFonts w:ascii="Tahoma" w:hAnsi="Tahoma" w:cs="Tahoma"/>
          <w:b/>
          <w:sz w:val="21"/>
          <w:szCs w:val="21"/>
        </w:rPr>
        <w:t>Lima,</w:t>
      </w:r>
      <w:r w:rsidR="00AC45D3">
        <w:rPr>
          <w:rFonts w:ascii="Tahoma" w:hAnsi="Tahoma" w:cs="Tahoma"/>
          <w:b/>
          <w:sz w:val="21"/>
          <w:szCs w:val="21"/>
        </w:rPr>
        <w:t xml:space="preserve"> 08 de Marzo de 2011</w:t>
      </w:r>
    </w:p>
    <w:p w:rsidR="006F3F00" w:rsidRPr="00CC31AC" w:rsidRDefault="006F3F00" w:rsidP="006F3F00">
      <w:pPr>
        <w:pStyle w:val="Textoindependiente3"/>
        <w:spacing w:after="0"/>
        <w:ind w:left="5387"/>
        <w:jc w:val="both"/>
        <w:rPr>
          <w:rFonts w:ascii="Tahoma" w:hAnsi="Tahoma" w:cs="Tahoma"/>
          <w:b/>
          <w:sz w:val="21"/>
          <w:szCs w:val="21"/>
        </w:rPr>
      </w:pPr>
    </w:p>
    <w:p w:rsidR="006F3F00" w:rsidRPr="00CC31AC" w:rsidRDefault="006F3F00" w:rsidP="001E3FAE">
      <w:pPr>
        <w:pStyle w:val="p1"/>
        <w:tabs>
          <w:tab w:val="center" w:pos="5832"/>
          <w:tab w:val="right" w:pos="8789"/>
        </w:tabs>
        <w:ind w:left="567" w:right="-2"/>
        <w:rPr>
          <w:rFonts w:ascii="Tahoma" w:hAnsi="Tahoma" w:cs="Tahoma"/>
          <w:sz w:val="21"/>
          <w:szCs w:val="21"/>
        </w:rPr>
      </w:pPr>
      <w:r w:rsidRPr="00CC31AC">
        <w:rPr>
          <w:rFonts w:ascii="Tahoma" w:hAnsi="Tahoma" w:cs="Tahoma"/>
          <w:b/>
          <w:sz w:val="21"/>
          <w:szCs w:val="21"/>
        </w:rPr>
        <w:t xml:space="preserve">Visto </w:t>
      </w:r>
      <w:r w:rsidRPr="00CC31AC">
        <w:rPr>
          <w:rFonts w:ascii="Tahoma" w:hAnsi="Tahoma" w:cs="Tahoma"/>
          <w:sz w:val="21"/>
          <w:szCs w:val="21"/>
        </w:rPr>
        <w:t>en sesión de fecha 08 de marzo de 2011, la Primera Sala del Tribunal de Contrataciones del Estado el Expediente N° 1087-2010-TC; sobre el procedimiento administrativo sancionador iniciado contra Logística y Adquisiciones E.I.R.L. por su responsabilidad al dar lugar a la resolución del Contrato Nº 4600025748, respecto de la Adjudicación Directa Pública Nº 0799AC0171-(AC-17-2007-ESSALUD/GCL), según relación de ítems, convocado para la “Adquisición de Instrumental Quirúrgico para el Plan de Emergencia y Desembalse Asistencial” proceso que le fuese adjudicado con la Buena Pro.</w:t>
      </w:r>
    </w:p>
    <w:p w:rsidR="006F3F00" w:rsidRPr="00CC31AC" w:rsidRDefault="006F3F00" w:rsidP="006F3F00">
      <w:pPr>
        <w:ind w:firstLine="567"/>
        <w:contextualSpacing/>
        <w:jc w:val="both"/>
        <w:rPr>
          <w:rFonts w:ascii="Tahoma" w:hAnsi="Tahoma" w:cs="Tahoma"/>
          <w:b/>
          <w:sz w:val="21"/>
          <w:szCs w:val="21"/>
          <w:lang w:val="es-ES_tradnl"/>
        </w:rPr>
      </w:pPr>
    </w:p>
    <w:p w:rsidR="006F3F00" w:rsidRPr="00CC31AC" w:rsidRDefault="006F3F00" w:rsidP="006F3F00">
      <w:pPr>
        <w:pStyle w:val="Prrafodelista"/>
        <w:numPr>
          <w:ilvl w:val="0"/>
          <w:numId w:val="1"/>
        </w:numPr>
        <w:ind w:left="567" w:hanging="425"/>
        <w:rPr>
          <w:rFonts w:ascii="Tahoma" w:hAnsi="Tahoma" w:cs="Tahoma"/>
          <w:b/>
          <w:sz w:val="21"/>
          <w:szCs w:val="21"/>
        </w:rPr>
      </w:pPr>
      <w:r w:rsidRPr="00CC31AC">
        <w:rPr>
          <w:rFonts w:ascii="Tahoma" w:hAnsi="Tahoma" w:cs="Tahoma"/>
          <w:b/>
          <w:sz w:val="21"/>
          <w:szCs w:val="21"/>
        </w:rPr>
        <w:t>ANTECEDENTES:</w:t>
      </w:r>
    </w:p>
    <w:p w:rsidR="006F3F00" w:rsidRPr="00CC31AC" w:rsidRDefault="006F3F00" w:rsidP="006F3F00">
      <w:pPr>
        <w:jc w:val="both"/>
        <w:rPr>
          <w:rFonts w:ascii="Tahoma" w:hAnsi="Tahoma" w:cs="Tahoma"/>
          <w:b/>
          <w:sz w:val="21"/>
          <w:szCs w:val="21"/>
          <w:lang w:eastAsia="es-PE"/>
        </w:rPr>
      </w:pPr>
    </w:p>
    <w:p w:rsidR="001E3FAE" w:rsidRPr="00CC31AC" w:rsidRDefault="001E3FAE" w:rsidP="001E3FAE">
      <w:pPr>
        <w:pStyle w:val="p1"/>
        <w:numPr>
          <w:ilvl w:val="0"/>
          <w:numId w:val="2"/>
        </w:numPr>
        <w:tabs>
          <w:tab w:val="clear" w:pos="340"/>
          <w:tab w:val="num" w:pos="567"/>
          <w:tab w:val="center" w:pos="5832"/>
          <w:tab w:val="right" w:pos="8789"/>
        </w:tabs>
        <w:ind w:left="567" w:right="-2" w:hanging="567"/>
        <w:rPr>
          <w:rFonts w:ascii="Tahoma" w:hAnsi="Tahoma" w:cs="Tahoma"/>
          <w:sz w:val="21"/>
          <w:szCs w:val="21"/>
        </w:rPr>
      </w:pPr>
      <w:r w:rsidRPr="00CC31AC">
        <w:rPr>
          <w:rFonts w:ascii="Tahoma" w:hAnsi="Tahoma" w:cs="Tahoma"/>
          <w:sz w:val="21"/>
          <w:szCs w:val="21"/>
        </w:rPr>
        <w:t>El 16 de agosto de 2010, el Seguro Social de Salud, en adelante, la Entidad, remitió a este Tribunal de Contrataciones del Estado, el Escrito Nº 01, a través del cual informa que la empresa LOGISTICA Y ADQUISICIONES E.I.R.L, en adelante, la Contratista, cometió la infracción tipificada en el numeral 2) del artículo 294 del Reglamento de la Ley de Contrataciones del Estado, aprobado por Decreto Supremo Nº 084-2004-PCM, norma vigente al momento de suscitados los hechos.</w:t>
      </w:r>
    </w:p>
    <w:p w:rsidR="001E3FAE" w:rsidRPr="00CC31AC" w:rsidRDefault="001E3FAE" w:rsidP="001E3FAE">
      <w:pPr>
        <w:pStyle w:val="p1"/>
        <w:tabs>
          <w:tab w:val="center" w:pos="5832"/>
          <w:tab w:val="right" w:pos="8789"/>
        </w:tabs>
        <w:ind w:left="567" w:right="-2"/>
        <w:rPr>
          <w:rFonts w:ascii="Tahoma" w:hAnsi="Tahoma" w:cs="Tahoma"/>
          <w:sz w:val="21"/>
          <w:szCs w:val="21"/>
        </w:rPr>
      </w:pPr>
    </w:p>
    <w:p w:rsidR="001E3FAE" w:rsidRPr="00CC31AC" w:rsidRDefault="001E3FAE" w:rsidP="001E3FAE">
      <w:pPr>
        <w:pStyle w:val="p1"/>
        <w:numPr>
          <w:ilvl w:val="0"/>
          <w:numId w:val="2"/>
        </w:numPr>
        <w:tabs>
          <w:tab w:val="clear" w:pos="340"/>
          <w:tab w:val="num" w:pos="567"/>
          <w:tab w:val="center" w:pos="5832"/>
          <w:tab w:val="right" w:pos="8789"/>
        </w:tabs>
        <w:ind w:left="567" w:right="-2" w:hanging="567"/>
        <w:rPr>
          <w:rFonts w:ascii="Tahoma" w:hAnsi="Tahoma" w:cs="Tahoma"/>
          <w:sz w:val="21"/>
          <w:szCs w:val="21"/>
        </w:rPr>
      </w:pPr>
      <w:r w:rsidRPr="00CC31AC">
        <w:rPr>
          <w:rFonts w:ascii="Tahoma" w:hAnsi="Tahoma" w:cs="Tahoma"/>
          <w:sz w:val="21"/>
          <w:szCs w:val="21"/>
        </w:rPr>
        <w:t xml:space="preserve">Al respecto, la Entidad adjunta al Escrito Nº 01, un Informe Técnico Legal, indicando que el 23 de mayo de 2007, la Entidad suscribió el Contrato Nº 4600025748 con la empresa Logística y Adquisiciones E.I.R.L. en adelante, la Contratista, a quien se le otorgó la Buena Pro del proceso de selección de Adjudicación Directa Pública Nº 0799AC0171-(AC-17-2007-ESSALUD/GCL), según relación de ítems, convocado para la “Adquisición de Instrumental Quirúrgico para el Plan de Emergencia y Desembalse Asistencial” </w:t>
      </w:r>
    </w:p>
    <w:p w:rsidR="001E3FAE" w:rsidRPr="00CC31AC" w:rsidRDefault="001E3FAE" w:rsidP="001E3FAE">
      <w:pPr>
        <w:pStyle w:val="p1"/>
        <w:tabs>
          <w:tab w:val="center" w:pos="5832"/>
          <w:tab w:val="right" w:pos="8789"/>
        </w:tabs>
        <w:ind w:left="567" w:right="-2"/>
        <w:rPr>
          <w:rFonts w:ascii="Tahoma" w:hAnsi="Tahoma" w:cs="Tahoma"/>
          <w:sz w:val="21"/>
          <w:szCs w:val="21"/>
        </w:rPr>
      </w:pPr>
    </w:p>
    <w:p w:rsidR="001E3FAE" w:rsidRPr="00CC31AC" w:rsidRDefault="001E3FAE" w:rsidP="001E3FAE">
      <w:pPr>
        <w:pStyle w:val="p1"/>
        <w:numPr>
          <w:ilvl w:val="0"/>
          <w:numId w:val="2"/>
        </w:numPr>
        <w:tabs>
          <w:tab w:val="clear" w:pos="340"/>
          <w:tab w:val="num" w:pos="567"/>
          <w:tab w:val="center" w:pos="5832"/>
          <w:tab w:val="right" w:pos="8789"/>
        </w:tabs>
        <w:ind w:left="567" w:right="-2" w:hanging="567"/>
        <w:rPr>
          <w:rFonts w:ascii="Tahoma" w:hAnsi="Tahoma" w:cs="Tahoma"/>
          <w:sz w:val="21"/>
          <w:szCs w:val="21"/>
        </w:rPr>
      </w:pPr>
      <w:r w:rsidRPr="00CC31AC">
        <w:rPr>
          <w:rFonts w:ascii="Tahoma" w:hAnsi="Tahoma" w:cs="Tahoma"/>
          <w:sz w:val="21"/>
          <w:szCs w:val="21"/>
        </w:rPr>
        <w:t>Que con fecha 13 de julio de 2007, a solicitud de la Gerencia de Programación se amplió la vigencia del Contrato hasta el 31 de julio de 2007, incumpliendo en dicho plazo la entrega de los bienes.</w:t>
      </w:r>
    </w:p>
    <w:p w:rsidR="001E3FAE" w:rsidRPr="00CC31AC" w:rsidRDefault="001E3FAE" w:rsidP="001E3FAE">
      <w:pPr>
        <w:pStyle w:val="Prrafodelista"/>
        <w:rPr>
          <w:rFonts w:ascii="Tahoma" w:hAnsi="Tahoma" w:cs="Tahoma"/>
          <w:sz w:val="21"/>
          <w:szCs w:val="21"/>
        </w:rPr>
      </w:pPr>
    </w:p>
    <w:p w:rsidR="001E3FAE" w:rsidRPr="00CC31AC" w:rsidRDefault="001E3FAE" w:rsidP="001E3FAE">
      <w:pPr>
        <w:pStyle w:val="p1"/>
        <w:numPr>
          <w:ilvl w:val="0"/>
          <w:numId w:val="2"/>
        </w:numPr>
        <w:tabs>
          <w:tab w:val="clear" w:pos="340"/>
          <w:tab w:val="num" w:pos="567"/>
          <w:tab w:val="center" w:pos="5832"/>
          <w:tab w:val="right" w:pos="8789"/>
        </w:tabs>
        <w:ind w:left="567" w:right="-2" w:hanging="567"/>
        <w:rPr>
          <w:rFonts w:ascii="Tahoma" w:hAnsi="Tahoma" w:cs="Tahoma"/>
          <w:sz w:val="21"/>
          <w:szCs w:val="21"/>
        </w:rPr>
      </w:pPr>
      <w:r w:rsidRPr="00CC31AC">
        <w:rPr>
          <w:rFonts w:ascii="Tahoma" w:hAnsi="Tahoma" w:cs="Tahoma"/>
          <w:sz w:val="21"/>
          <w:szCs w:val="21"/>
        </w:rPr>
        <w:t>Mediante Carta Notarial Nº 016-SGCSyAP-GA-GCL-OGA-ESSALUD-2008 de fecha 07 de febrero de 2008, se le requirió al Contratista que cumpla con atender la entrega de los productos, por lo que se le otorgó un plazo de tres (03) días.</w:t>
      </w:r>
    </w:p>
    <w:p w:rsidR="001E3FAE" w:rsidRPr="00CC31AC" w:rsidRDefault="001E3FAE" w:rsidP="001E3FAE">
      <w:pPr>
        <w:pStyle w:val="Prrafodelista"/>
        <w:rPr>
          <w:rFonts w:ascii="Tahoma" w:hAnsi="Tahoma" w:cs="Tahoma"/>
          <w:sz w:val="21"/>
          <w:szCs w:val="21"/>
        </w:rPr>
      </w:pPr>
    </w:p>
    <w:p w:rsidR="001E3FAE" w:rsidRPr="00CC31AC" w:rsidRDefault="001E3FAE" w:rsidP="001E3FAE">
      <w:pPr>
        <w:pStyle w:val="p1"/>
        <w:numPr>
          <w:ilvl w:val="0"/>
          <w:numId w:val="2"/>
        </w:numPr>
        <w:tabs>
          <w:tab w:val="clear" w:pos="340"/>
          <w:tab w:val="num" w:pos="567"/>
          <w:tab w:val="center" w:pos="5832"/>
          <w:tab w:val="right" w:pos="8789"/>
        </w:tabs>
        <w:ind w:left="567" w:right="-2" w:hanging="567"/>
        <w:rPr>
          <w:rFonts w:ascii="Tahoma" w:hAnsi="Tahoma" w:cs="Tahoma"/>
          <w:sz w:val="21"/>
          <w:szCs w:val="21"/>
        </w:rPr>
      </w:pPr>
      <w:r w:rsidRPr="00CC31AC">
        <w:rPr>
          <w:rFonts w:ascii="Tahoma" w:hAnsi="Tahoma" w:cs="Tahoma"/>
          <w:sz w:val="21"/>
          <w:szCs w:val="21"/>
        </w:rPr>
        <w:t xml:space="preserve">En vista del incumplimiento mediante Resolución de Gerencia Central de Logística Nº 1035-GCL-OGA-ESSALU-2008 se resolvió parcialmente el Contrato Nº 4600025748 por incumplimiento de obligaciones, que le fue comunicada al Contratista mediante Carta Notarial Nº 1771-GCL-OGA-ESSALUD-2008 de fecha 16 de julio de 2008. </w:t>
      </w:r>
    </w:p>
    <w:p w:rsidR="001E3FAE" w:rsidRPr="00CC31AC" w:rsidRDefault="001E3FAE" w:rsidP="001E3FAE">
      <w:pPr>
        <w:pStyle w:val="Prrafodelista"/>
        <w:rPr>
          <w:rFonts w:ascii="Tahoma" w:hAnsi="Tahoma" w:cs="Tahoma"/>
          <w:sz w:val="21"/>
          <w:szCs w:val="21"/>
        </w:rPr>
      </w:pPr>
    </w:p>
    <w:p w:rsidR="001E3FAE" w:rsidRPr="00CC31AC" w:rsidRDefault="001E3FAE" w:rsidP="001E3FAE">
      <w:pPr>
        <w:pStyle w:val="p1"/>
        <w:tabs>
          <w:tab w:val="center" w:pos="5832"/>
          <w:tab w:val="right" w:pos="8789"/>
        </w:tabs>
        <w:ind w:left="567" w:right="-2"/>
        <w:rPr>
          <w:rFonts w:ascii="Tahoma" w:hAnsi="Tahoma" w:cs="Tahoma"/>
          <w:sz w:val="21"/>
          <w:szCs w:val="21"/>
        </w:rPr>
      </w:pPr>
      <w:r w:rsidRPr="00CC31AC">
        <w:rPr>
          <w:rFonts w:ascii="Tahoma" w:hAnsi="Tahoma" w:cs="Tahoma"/>
          <w:sz w:val="21"/>
          <w:szCs w:val="21"/>
        </w:rPr>
        <w:t>Asimismo, advierte que en la base de datos de la Gerencia de Asuntos Judiciales de la Oficina Central de Asesoría Jurídica no se encuentra registrado ningún proceso arbitral iniciado por la Contratista.</w:t>
      </w:r>
    </w:p>
    <w:p w:rsidR="001E3FAE" w:rsidRPr="00CC31AC" w:rsidRDefault="001E3FAE" w:rsidP="001E3FAE">
      <w:pPr>
        <w:pStyle w:val="p1"/>
        <w:tabs>
          <w:tab w:val="center" w:pos="5832"/>
          <w:tab w:val="right" w:pos="8789"/>
        </w:tabs>
        <w:ind w:left="567" w:right="-2"/>
        <w:rPr>
          <w:rFonts w:ascii="Tahoma" w:hAnsi="Tahoma" w:cs="Tahoma"/>
          <w:sz w:val="21"/>
          <w:szCs w:val="21"/>
        </w:rPr>
      </w:pPr>
    </w:p>
    <w:p w:rsidR="001E3FAE" w:rsidRPr="00CC31AC" w:rsidRDefault="001E3FAE" w:rsidP="001E3FAE">
      <w:pPr>
        <w:numPr>
          <w:ilvl w:val="0"/>
          <w:numId w:val="2"/>
        </w:numPr>
        <w:tabs>
          <w:tab w:val="clear" w:pos="340"/>
          <w:tab w:val="num" w:pos="540"/>
          <w:tab w:val="num" w:pos="1035"/>
        </w:tabs>
        <w:ind w:left="540" w:right="-2" w:hanging="540"/>
        <w:jc w:val="both"/>
        <w:rPr>
          <w:rFonts w:ascii="Tahoma" w:hAnsi="Tahoma" w:cs="Tahoma"/>
          <w:sz w:val="21"/>
          <w:szCs w:val="21"/>
          <w:lang w:eastAsia="es-PE"/>
        </w:rPr>
      </w:pPr>
      <w:r w:rsidRPr="00CC31AC">
        <w:rPr>
          <w:rFonts w:ascii="Tahoma" w:hAnsi="Tahoma" w:cs="Tahoma"/>
          <w:sz w:val="21"/>
          <w:szCs w:val="21"/>
          <w:lang w:eastAsia="es-PE"/>
        </w:rPr>
        <w:t xml:space="preserve">En ese sentido, el 19 de agosto de 2010 se emitió un decreto mediante el cual se inicio procedimiento administrativo sancionador a la empresa </w:t>
      </w:r>
      <w:r w:rsidRPr="00CC31AC">
        <w:rPr>
          <w:rFonts w:ascii="Tahoma" w:hAnsi="Tahoma" w:cs="Tahoma"/>
          <w:sz w:val="21"/>
          <w:szCs w:val="21"/>
        </w:rPr>
        <w:t xml:space="preserve">Logística y Adquisiciones E.I.R.L. </w:t>
      </w:r>
      <w:r w:rsidRPr="00CC31AC">
        <w:rPr>
          <w:rFonts w:ascii="Tahoma" w:hAnsi="Tahoma" w:cs="Tahoma"/>
          <w:sz w:val="21"/>
          <w:szCs w:val="21"/>
          <w:lang w:eastAsia="es-PE"/>
        </w:rPr>
        <w:t xml:space="preserve"> por su supuesta responsabilidad al haber dado lugar a la resolución parcial de un contrato de suministro de manera injustificada correspondiente a los ítems Nº 2, 10, 18, 21, 41, 49, 82, 83. 84, 93, 95, 103 y 111 en el marco del proceso de selección de Adjudicación Directa Publica Nº 0799AC0171-/AC-17-2007-ESSALUD/GCL). Se notificó a la empresa  </w:t>
      </w:r>
      <w:r w:rsidRPr="00CC31AC">
        <w:rPr>
          <w:rFonts w:ascii="Tahoma" w:hAnsi="Tahoma" w:cs="Tahoma"/>
          <w:sz w:val="21"/>
          <w:szCs w:val="21"/>
        </w:rPr>
        <w:t xml:space="preserve">Logística y Adquisiciones E.I.R.L. </w:t>
      </w:r>
      <w:r w:rsidRPr="00CC31AC">
        <w:rPr>
          <w:rFonts w:ascii="Tahoma" w:hAnsi="Tahoma" w:cs="Tahoma"/>
          <w:sz w:val="21"/>
          <w:szCs w:val="21"/>
          <w:lang w:eastAsia="es-PE"/>
        </w:rPr>
        <w:t xml:space="preserve"> para que dentro del plazo de diez (10) días hábiles cumpla con presentar sus descargos, bajo apercibimiento de resolver el procedimiento con la documentación obrante en el expediente.</w:t>
      </w:r>
    </w:p>
    <w:p w:rsidR="001E3FAE" w:rsidRPr="00CC31AC" w:rsidRDefault="001E3FAE" w:rsidP="001E3FAE">
      <w:pPr>
        <w:pStyle w:val="Prrafodelista"/>
        <w:ind w:right="-2"/>
        <w:rPr>
          <w:rFonts w:ascii="Tahoma" w:hAnsi="Tahoma" w:cs="Tahoma"/>
          <w:sz w:val="21"/>
          <w:szCs w:val="21"/>
          <w:lang w:eastAsia="es-PE"/>
        </w:rPr>
      </w:pPr>
    </w:p>
    <w:p w:rsidR="001E3FAE" w:rsidRPr="00CC31AC" w:rsidRDefault="001E3FAE" w:rsidP="001E3FAE">
      <w:pPr>
        <w:pStyle w:val="Prrafodelista"/>
        <w:widowControl/>
        <w:numPr>
          <w:ilvl w:val="0"/>
          <w:numId w:val="2"/>
        </w:numPr>
        <w:tabs>
          <w:tab w:val="clear" w:pos="340"/>
        </w:tabs>
        <w:suppressAutoHyphens w:val="0"/>
        <w:ind w:left="567" w:right="-2" w:hanging="567"/>
        <w:contextualSpacing/>
        <w:jc w:val="both"/>
        <w:rPr>
          <w:rFonts w:ascii="Tahoma" w:hAnsi="Tahoma" w:cs="Tahoma"/>
          <w:sz w:val="21"/>
          <w:szCs w:val="21"/>
        </w:rPr>
      </w:pPr>
      <w:r w:rsidRPr="00CC31AC">
        <w:rPr>
          <w:rFonts w:ascii="Tahoma" w:hAnsi="Tahoma" w:cs="Tahoma"/>
          <w:sz w:val="21"/>
          <w:szCs w:val="21"/>
        </w:rPr>
        <w:t>Mediante decreto del 20 de diciembre de 2010, se hizo efectivo el apercibimiento de resolver con la documentación obrante en autos y se remitió el expediente a la Primera Sala del Tribunal para que resuelva, verificándose que la Contratista no ha cumplido con efectuar la presentación de sus descargos.</w:t>
      </w:r>
    </w:p>
    <w:p w:rsidR="006F3F00" w:rsidRPr="00CC31AC" w:rsidRDefault="006F3F00" w:rsidP="006F3F00">
      <w:pPr>
        <w:contextualSpacing/>
        <w:jc w:val="both"/>
        <w:rPr>
          <w:rFonts w:ascii="Tahoma" w:hAnsi="Tahoma" w:cs="Tahoma"/>
          <w:sz w:val="21"/>
          <w:szCs w:val="21"/>
          <w:lang w:val="es-ES_tradnl"/>
        </w:rPr>
      </w:pPr>
    </w:p>
    <w:p w:rsidR="006F3F00" w:rsidRPr="00CC31AC" w:rsidRDefault="006F3F00" w:rsidP="006F3F00">
      <w:pPr>
        <w:pStyle w:val="Prrafodelista"/>
        <w:widowControl/>
        <w:numPr>
          <w:ilvl w:val="0"/>
          <w:numId w:val="3"/>
        </w:numPr>
        <w:suppressAutoHyphens w:val="0"/>
        <w:ind w:left="567" w:hanging="567"/>
        <w:jc w:val="both"/>
        <w:rPr>
          <w:rFonts w:ascii="Tahoma" w:hAnsi="Tahoma" w:cs="Tahoma"/>
          <w:b/>
          <w:shadow/>
          <w:sz w:val="21"/>
          <w:szCs w:val="21"/>
        </w:rPr>
      </w:pPr>
      <w:r w:rsidRPr="00CC31AC">
        <w:rPr>
          <w:rFonts w:ascii="Tahoma" w:hAnsi="Tahoma" w:cs="Tahoma"/>
          <w:b/>
          <w:sz w:val="21"/>
          <w:szCs w:val="21"/>
        </w:rPr>
        <w:t>FUNDAMENTACIÓN:</w:t>
      </w:r>
    </w:p>
    <w:p w:rsidR="006F3F00" w:rsidRPr="00CC31AC" w:rsidRDefault="006F3F00" w:rsidP="006F3F00">
      <w:pPr>
        <w:jc w:val="both"/>
        <w:rPr>
          <w:rFonts w:ascii="Tahoma" w:hAnsi="Tahoma" w:cs="Tahoma"/>
          <w:sz w:val="21"/>
          <w:szCs w:val="21"/>
        </w:rPr>
      </w:pPr>
    </w:p>
    <w:p w:rsidR="00CC31AC" w:rsidRPr="00CC31AC" w:rsidRDefault="00CC31AC" w:rsidP="00CC31AC">
      <w:pPr>
        <w:pStyle w:val="Lista3"/>
        <w:numPr>
          <w:ilvl w:val="0"/>
          <w:numId w:val="7"/>
        </w:numPr>
        <w:spacing w:after="0" w:line="240" w:lineRule="auto"/>
        <w:ind w:left="567" w:hanging="567"/>
        <w:jc w:val="both"/>
        <w:rPr>
          <w:rFonts w:ascii="Tahoma" w:hAnsi="Tahoma" w:cs="Tahoma"/>
          <w:sz w:val="21"/>
          <w:szCs w:val="21"/>
        </w:rPr>
      </w:pPr>
      <w:r w:rsidRPr="00CC31AC">
        <w:rPr>
          <w:rFonts w:ascii="Tahoma" w:hAnsi="Tahoma" w:cs="Tahoma"/>
          <w:sz w:val="21"/>
          <w:szCs w:val="21"/>
          <w:lang w:val="es-ES_tradnl"/>
        </w:rPr>
        <w:t xml:space="preserve">El numeral 1 del artículo 235 de la Ley № 27444, Ley del Procedimiento Administrativo General, establece que el procedimiento administrativo sancionador se inicia siempre de oficio, bien por propia iniciativa o como consecuencia de una orden superior, petición motivada de otros órganos o entidades o por denuncia. </w:t>
      </w:r>
    </w:p>
    <w:p w:rsidR="00CC31AC" w:rsidRPr="00CC31AC" w:rsidRDefault="00CC31AC" w:rsidP="00CC31AC">
      <w:pPr>
        <w:pStyle w:val="Lista3"/>
        <w:spacing w:after="0" w:line="240" w:lineRule="auto"/>
        <w:ind w:left="566" w:firstLine="0"/>
        <w:jc w:val="both"/>
        <w:rPr>
          <w:rFonts w:ascii="Tahoma" w:hAnsi="Tahoma" w:cs="Tahoma"/>
          <w:sz w:val="21"/>
          <w:szCs w:val="21"/>
        </w:rPr>
      </w:pPr>
    </w:p>
    <w:p w:rsidR="00CC31AC" w:rsidRPr="00CC31AC" w:rsidRDefault="00CC31AC" w:rsidP="00CC31AC">
      <w:pPr>
        <w:pStyle w:val="Lista3"/>
        <w:numPr>
          <w:ilvl w:val="0"/>
          <w:numId w:val="7"/>
        </w:numPr>
        <w:spacing w:after="0" w:line="240" w:lineRule="auto"/>
        <w:ind w:left="567" w:hanging="567"/>
        <w:jc w:val="both"/>
        <w:rPr>
          <w:rFonts w:ascii="Tahoma" w:hAnsi="Tahoma" w:cs="Tahoma"/>
          <w:sz w:val="21"/>
          <w:szCs w:val="21"/>
        </w:rPr>
      </w:pPr>
      <w:r w:rsidRPr="00CC31AC">
        <w:rPr>
          <w:rFonts w:ascii="Tahoma" w:hAnsi="Tahoma" w:cs="Tahoma"/>
          <w:sz w:val="21"/>
          <w:szCs w:val="21"/>
        </w:rPr>
        <w:t>El presente procedimiento administrativo sancionador ha sido iniciado a consecuencia de la denuncia formulada por la Entidad por la supuesta responsabilidad de la empresa Logística y Adquisiciones E.I.R.L. en la resolución del Contrato Nº 4600025748, por razón atribuible a su parte, situación que califica como infracción administrativa según la causal de imposición de sanción tipificada en el numeral 2 del artículo 294 del Reglamento</w:t>
      </w:r>
      <w:r w:rsidRPr="00CC31AC">
        <w:rPr>
          <w:rStyle w:val="Refdenotaalpie"/>
          <w:rFonts w:ascii="Tahoma" w:hAnsi="Tahoma" w:cs="Tahoma"/>
          <w:sz w:val="21"/>
          <w:szCs w:val="21"/>
        </w:rPr>
        <w:footnoteReference w:id="2"/>
      </w:r>
      <w:r w:rsidRPr="00CC31AC">
        <w:rPr>
          <w:rFonts w:ascii="Tahoma" w:hAnsi="Tahoma" w:cs="Tahoma"/>
          <w:sz w:val="21"/>
          <w:szCs w:val="21"/>
        </w:rPr>
        <w:t xml:space="preserve">, norma aplicable al presente caso. </w:t>
      </w:r>
    </w:p>
    <w:p w:rsidR="00CC31AC" w:rsidRPr="00CC31AC" w:rsidRDefault="00CC31AC" w:rsidP="00CC31AC">
      <w:pPr>
        <w:pStyle w:val="Prrafodelista"/>
        <w:rPr>
          <w:rFonts w:ascii="Tahoma" w:hAnsi="Tahoma" w:cs="Tahoma"/>
          <w:sz w:val="21"/>
          <w:szCs w:val="21"/>
        </w:rPr>
      </w:pPr>
    </w:p>
    <w:p w:rsidR="00CC31AC" w:rsidRPr="00CC31AC" w:rsidRDefault="00CC31AC" w:rsidP="00CC31AC">
      <w:pPr>
        <w:pStyle w:val="Lista3"/>
        <w:numPr>
          <w:ilvl w:val="0"/>
          <w:numId w:val="7"/>
        </w:numPr>
        <w:tabs>
          <w:tab w:val="left" w:pos="0"/>
        </w:tabs>
        <w:spacing w:after="0" w:line="240" w:lineRule="auto"/>
        <w:ind w:left="567" w:hanging="567"/>
        <w:jc w:val="both"/>
        <w:rPr>
          <w:rFonts w:ascii="Tahoma" w:hAnsi="Tahoma" w:cs="Tahoma"/>
          <w:sz w:val="21"/>
          <w:szCs w:val="21"/>
        </w:rPr>
      </w:pPr>
      <w:r w:rsidRPr="00CC31AC">
        <w:rPr>
          <w:rFonts w:ascii="Tahoma" w:hAnsi="Tahoma" w:cs="Tahoma"/>
          <w:sz w:val="21"/>
          <w:szCs w:val="21"/>
        </w:rPr>
        <w:t xml:space="preserve">Precisamente, el artículo 52 del Texto Único Ordenado de la Ley de Contrataciones y Adquisiciones del Estado, aprobado por Decreto Supremo № 083-2004-PCM, en adelante la Ley, establece que el Consejo Superior de Contrataciones y Adquisiciones del Estado (Ahora OSCE) impondrá a los proveedores, participantes, postores, </w:t>
      </w:r>
      <w:r w:rsidRPr="00CC31AC">
        <w:rPr>
          <w:rFonts w:ascii="Tahoma" w:hAnsi="Tahoma" w:cs="Tahoma"/>
          <w:sz w:val="21"/>
          <w:szCs w:val="21"/>
        </w:rPr>
        <w:lastRenderedPageBreak/>
        <w:t xml:space="preserve">contratistas y entidades, en los casos que esta Ley o su Reglamento lo señalen, las sanciones de inhabilitación temporal, inhabilitación temporal o sanciones económicas. </w:t>
      </w:r>
    </w:p>
    <w:p w:rsidR="00CC31AC" w:rsidRPr="00CC31AC" w:rsidRDefault="00CC31AC" w:rsidP="00CC31AC">
      <w:pPr>
        <w:pStyle w:val="Lista3"/>
        <w:ind w:left="567" w:firstLine="0"/>
        <w:rPr>
          <w:rFonts w:ascii="Tahoma" w:hAnsi="Tahoma" w:cs="Tahoma"/>
          <w:sz w:val="21"/>
          <w:szCs w:val="21"/>
        </w:rPr>
      </w:pPr>
    </w:p>
    <w:p w:rsidR="00CC31AC" w:rsidRPr="00CC31AC" w:rsidRDefault="00CC31AC" w:rsidP="00CC31AC">
      <w:pPr>
        <w:pStyle w:val="Lista3"/>
        <w:numPr>
          <w:ilvl w:val="0"/>
          <w:numId w:val="7"/>
        </w:numPr>
        <w:spacing w:after="0" w:line="240" w:lineRule="auto"/>
        <w:ind w:left="567" w:hanging="567"/>
        <w:jc w:val="both"/>
        <w:rPr>
          <w:rFonts w:ascii="Tahoma" w:hAnsi="Tahoma" w:cs="Tahoma"/>
          <w:sz w:val="21"/>
          <w:szCs w:val="21"/>
        </w:rPr>
      </w:pPr>
      <w:r w:rsidRPr="00CC31AC">
        <w:rPr>
          <w:rFonts w:ascii="Tahoma" w:hAnsi="Tahoma" w:cs="Tahoma"/>
          <w:sz w:val="21"/>
          <w:szCs w:val="21"/>
        </w:rPr>
        <w:t>A fin de determinar la responsabilidad de la Contratista, es relevante tener en cuenta que la potestad sancionadora de la Administración Pública se rige, entre otros, por el Principio de Tipicidad, consagrado en el numeral 2 del artículo 230 de la Ley № 27444, Ley del Procedimiento Administrativo General, y por medio del cual sólo constituyen conductas sancionables administrativamente las infracciones previstas expresamente en normas con rango de ley o de reglamento, mediante su tipificación como tales, sin admitir interpretación extensiva o por analogía.</w:t>
      </w:r>
    </w:p>
    <w:p w:rsidR="00CC31AC" w:rsidRPr="00CC31AC" w:rsidRDefault="00CC31AC" w:rsidP="00CC31AC">
      <w:pPr>
        <w:pStyle w:val="Prrafodelista"/>
        <w:ind w:left="567" w:hanging="425"/>
        <w:rPr>
          <w:rFonts w:ascii="Tahoma" w:hAnsi="Tahoma" w:cs="Tahoma"/>
          <w:sz w:val="21"/>
          <w:szCs w:val="21"/>
        </w:rPr>
      </w:pPr>
    </w:p>
    <w:p w:rsidR="00CC31AC" w:rsidRPr="00CC31AC" w:rsidRDefault="00CC31AC" w:rsidP="00CC31AC">
      <w:pPr>
        <w:pStyle w:val="Lista3"/>
        <w:numPr>
          <w:ilvl w:val="0"/>
          <w:numId w:val="7"/>
        </w:numPr>
        <w:spacing w:after="0" w:line="240" w:lineRule="auto"/>
        <w:ind w:left="567" w:hanging="567"/>
        <w:jc w:val="both"/>
        <w:rPr>
          <w:rFonts w:ascii="Tahoma" w:hAnsi="Tahoma" w:cs="Tahoma"/>
          <w:sz w:val="21"/>
          <w:szCs w:val="21"/>
        </w:rPr>
      </w:pPr>
      <w:r w:rsidRPr="00CC31AC">
        <w:rPr>
          <w:rFonts w:ascii="Tahoma" w:hAnsi="Tahoma" w:cs="Tahoma"/>
          <w:sz w:val="21"/>
          <w:szCs w:val="21"/>
        </w:rPr>
        <w:t>Así entendido, y de acuerdo con los criterios adoptados por el Tribunal, para la generación del tipo infractor que nos ocupa es irrelevante el solo incumplimiento injustificado de las obligaciones contractuales, siendo que su configuración se encuentra condicionada a que la Entidad haya efectivamente resuelto el contrato por causal atribuible a la Contratista, en aplicación del inciso c) del artículo 41 de la Ley, y el numeral 1 del artículo 225 del Reglamento</w:t>
      </w:r>
      <w:r w:rsidRPr="00CC31AC">
        <w:rPr>
          <w:rStyle w:val="Refdenotaalpie"/>
          <w:rFonts w:ascii="Tahoma" w:hAnsi="Tahoma" w:cs="Tahoma"/>
          <w:sz w:val="21"/>
          <w:szCs w:val="21"/>
        </w:rPr>
        <w:footnoteReference w:id="3"/>
      </w:r>
      <w:r w:rsidRPr="00CC31AC">
        <w:rPr>
          <w:rFonts w:ascii="Tahoma" w:hAnsi="Tahoma" w:cs="Tahoma"/>
          <w:sz w:val="21"/>
          <w:szCs w:val="21"/>
        </w:rPr>
        <w:t xml:space="preserve">, </w:t>
      </w:r>
      <w:r w:rsidRPr="00CC31AC">
        <w:rPr>
          <w:rFonts w:ascii="Tahoma" w:hAnsi="Tahoma" w:cs="Tahoma"/>
          <w:sz w:val="21"/>
          <w:szCs w:val="21"/>
          <w:u w:val="single"/>
        </w:rPr>
        <w:t>para lo cual resulta imperativo que la Entidad haya observado el procedimiento de resolución establecido en el artículo 226 del citado cuerpo normativo</w:t>
      </w:r>
      <w:r w:rsidRPr="00CC31AC">
        <w:rPr>
          <w:rFonts w:ascii="Tahoma" w:hAnsi="Tahoma" w:cs="Tahoma"/>
          <w:sz w:val="21"/>
          <w:szCs w:val="21"/>
        </w:rPr>
        <w:t>.</w:t>
      </w:r>
    </w:p>
    <w:p w:rsidR="00CC31AC" w:rsidRPr="00CC31AC" w:rsidRDefault="00CC31AC" w:rsidP="00CC31AC">
      <w:pPr>
        <w:pStyle w:val="Prrafodelista"/>
        <w:ind w:left="567" w:hanging="425"/>
        <w:rPr>
          <w:rFonts w:ascii="Tahoma" w:hAnsi="Tahoma" w:cs="Tahoma"/>
          <w:sz w:val="21"/>
          <w:szCs w:val="21"/>
        </w:rPr>
      </w:pPr>
    </w:p>
    <w:p w:rsidR="00CC31AC" w:rsidRPr="00CC31AC" w:rsidRDefault="00CC31AC" w:rsidP="00CC31AC">
      <w:pPr>
        <w:pStyle w:val="Lista3"/>
        <w:numPr>
          <w:ilvl w:val="0"/>
          <w:numId w:val="7"/>
        </w:numPr>
        <w:spacing w:after="0" w:line="240" w:lineRule="auto"/>
        <w:ind w:left="567" w:hanging="567"/>
        <w:jc w:val="both"/>
        <w:rPr>
          <w:rFonts w:ascii="Tahoma" w:hAnsi="Tahoma" w:cs="Tahoma"/>
          <w:sz w:val="21"/>
          <w:szCs w:val="21"/>
        </w:rPr>
      </w:pPr>
      <w:r w:rsidRPr="00CC31AC">
        <w:rPr>
          <w:rFonts w:ascii="Tahoma" w:hAnsi="Tahoma" w:cs="Tahoma"/>
          <w:sz w:val="21"/>
          <w:szCs w:val="21"/>
        </w:rPr>
        <w:t>Ahora bien, según lo dispuesto en el artículo 226 del Reglamento</w:t>
      </w:r>
      <w:r w:rsidRPr="00CC31AC">
        <w:rPr>
          <w:rStyle w:val="Refdenotaalpie"/>
          <w:rFonts w:ascii="Tahoma" w:hAnsi="Tahoma" w:cs="Tahoma"/>
          <w:sz w:val="21"/>
          <w:szCs w:val="21"/>
        </w:rPr>
        <w:footnoteReference w:id="4"/>
      </w:r>
      <w:r w:rsidRPr="00CC31AC">
        <w:rPr>
          <w:rFonts w:ascii="Tahoma" w:hAnsi="Tahoma" w:cs="Tahoma"/>
          <w:sz w:val="21"/>
          <w:szCs w:val="21"/>
        </w:rPr>
        <w:t>, la parte perjudicada ante el incumplimiento de las obligaciones de su co-contratante deberá requerirla mediante carta notarial para que las satisfaga, otorgándole un plazo no mayor a cinco días, bajo apercibimiento que el Contrato quede resuelto de pleno derecho. Si vencido dicho plazo el incumplimiento continúa, la parte perjudicada resolverá el contrato mediante una nueva carta notarial. Asimismo, la citada norma ha previsto que, dependiendo de la complejidad, envergadura o sofisticación de la adquisición o contratación, la Entidad podrá otorgar a la Contratista un plazo mayor, el cual en ningún caso deberá exceder de quince días.</w:t>
      </w:r>
    </w:p>
    <w:p w:rsidR="00CC31AC" w:rsidRPr="00CC31AC" w:rsidRDefault="00CC31AC" w:rsidP="00CC31AC">
      <w:pPr>
        <w:pStyle w:val="Prrafodelista"/>
        <w:ind w:left="567" w:hanging="425"/>
        <w:rPr>
          <w:rFonts w:ascii="Tahoma" w:hAnsi="Tahoma" w:cs="Tahoma"/>
          <w:sz w:val="21"/>
          <w:szCs w:val="21"/>
        </w:rPr>
      </w:pPr>
    </w:p>
    <w:p w:rsidR="00CC31AC" w:rsidRPr="00CC31AC" w:rsidRDefault="00CC31AC" w:rsidP="00CC31AC">
      <w:pPr>
        <w:pStyle w:val="Lista3"/>
        <w:numPr>
          <w:ilvl w:val="0"/>
          <w:numId w:val="7"/>
        </w:numPr>
        <w:spacing w:after="0" w:line="240" w:lineRule="auto"/>
        <w:ind w:left="567" w:hanging="567"/>
        <w:jc w:val="both"/>
        <w:rPr>
          <w:rFonts w:ascii="Tahoma" w:hAnsi="Tahoma" w:cs="Tahoma"/>
          <w:sz w:val="21"/>
          <w:szCs w:val="21"/>
        </w:rPr>
      </w:pPr>
      <w:r w:rsidRPr="00CC31AC">
        <w:rPr>
          <w:rFonts w:ascii="Tahoma" w:hAnsi="Tahoma" w:cs="Tahoma"/>
          <w:sz w:val="21"/>
          <w:szCs w:val="21"/>
        </w:rPr>
        <w:t xml:space="preserve">En ese orden de ideas, corresponde determinar, de manera previa, si la Entidad ha seguido el debido procedimiento para la resolución del citado contrato, conforme lo previsto en los artículos 225 y 226 del Reglamento. </w:t>
      </w:r>
    </w:p>
    <w:p w:rsidR="00CC31AC" w:rsidRPr="00CC31AC" w:rsidRDefault="00CC31AC" w:rsidP="00CC31AC">
      <w:pPr>
        <w:pStyle w:val="Prrafodelista"/>
        <w:ind w:left="567" w:hanging="425"/>
        <w:rPr>
          <w:rFonts w:ascii="Tahoma" w:hAnsi="Tahoma" w:cs="Tahoma"/>
          <w:sz w:val="21"/>
          <w:szCs w:val="21"/>
        </w:rPr>
      </w:pPr>
    </w:p>
    <w:p w:rsidR="00CC31AC" w:rsidRPr="00CC31AC" w:rsidRDefault="00CC31AC" w:rsidP="00CC31AC">
      <w:pPr>
        <w:pStyle w:val="Lista3"/>
        <w:numPr>
          <w:ilvl w:val="0"/>
          <w:numId w:val="7"/>
        </w:numPr>
        <w:spacing w:after="0" w:line="240" w:lineRule="auto"/>
        <w:ind w:left="567" w:hanging="567"/>
        <w:jc w:val="both"/>
        <w:rPr>
          <w:rFonts w:ascii="Tahoma" w:hAnsi="Tahoma" w:cs="Tahoma"/>
          <w:sz w:val="21"/>
          <w:szCs w:val="21"/>
        </w:rPr>
      </w:pPr>
      <w:r w:rsidRPr="00CC31AC">
        <w:rPr>
          <w:rFonts w:ascii="Tahoma" w:hAnsi="Tahoma" w:cs="Tahoma"/>
          <w:sz w:val="21"/>
          <w:szCs w:val="21"/>
        </w:rPr>
        <w:t>Al respecto, de la documentación obrante en autos, se observa que la Entidad remitió a la Contratista, vía conducto notarial, dos (2) comunicaciones:</w:t>
      </w:r>
    </w:p>
    <w:p w:rsidR="00CC31AC" w:rsidRPr="00CC31AC" w:rsidRDefault="00CC31AC" w:rsidP="00CC31AC">
      <w:pPr>
        <w:pStyle w:val="Lista3"/>
        <w:ind w:left="567" w:hanging="425"/>
        <w:rPr>
          <w:rFonts w:ascii="Tahoma" w:hAnsi="Tahoma" w:cs="Tahoma"/>
          <w:sz w:val="21"/>
          <w:szCs w:val="21"/>
        </w:rPr>
      </w:pPr>
    </w:p>
    <w:p w:rsidR="00CC31AC" w:rsidRPr="00CC31AC" w:rsidRDefault="00CC31AC" w:rsidP="00CC31AC">
      <w:pPr>
        <w:pStyle w:val="Lista3"/>
        <w:numPr>
          <w:ilvl w:val="0"/>
          <w:numId w:val="6"/>
        </w:numPr>
        <w:spacing w:after="0" w:line="240" w:lineRule="auto"/>
        <w:ind w:left="993" w:hanging="425"/>
        <w:jc w:val="both"/>
        <w:rPr>
          <w:rFonts w:ascii="Tahoma" w:hAnsi="Tahoma" w:cs="Tahoma"/>
          <w:sz w:val="21"/>
          <w:szCs w:val="21"/>
        </w:rPr>
      </w:pPr>
      <w:r w:rsidRPr="00CC31AC">
        <w:rPr>
          <w:rFonts w:ascii="Tahoma" w:hAnsi="Tahoma" w:cs="Tahoma"/>
          <w:sz w:val="21"/>
          <w:szCs w:val="21"/>
        </w:rPr>
        <w:t>Mediante Carta Nº 016-SGCSyAP-GA-GCL-OGA-ESSALUD-2008, diligenciada mediante conducto notarial el 9 de febrero de 2008, la Entidad comunicó a la Contratista que hasta dicha fecha no había cumplido sus obligaciones emanadas del Contrato, a efectos de producirse la entrega del instrumental quirúrgico, razón por la cual le otorgó un plazo adicional de tres días para que cumpla su obligación contractual, bajo apercibimiento de resolver el contrato suscrito.</w:t>
      </w:r>
    </w:p>
    <w:p w:rsidR="00CC31AC" w:rsidRPr="00CC31AC" w:rsidRDefault="00CC31AC" w:rsidP="00CC31AC">
      <w:pPr>
        <w:pStyle w:val="Lista3"/>
        <w:ind w:left="1134" w:hanging="425"/>
        <w:rPr>
          <w:rFonts w:ascii="Tahoma" w:hAnsi="Tahoma" w:cs="Tahoma"/>
          <w:sz w:val="21"/>
          <w:szCs w:val="21"/>
        </w:rPr>
      </w:pPr>
    </w:p>
    <w:p w:rsidR="00CC31AC" w:rsidRPr="00CC31AC" w:rsidRDefault="00CC31AC" w:rsidP="00CC31AC">
      <w:pPr>
        <w:pStyle w:val="Lista3"/>
        <w:numPr>
          <w:ilvl w:val="0"/>
          <w:numId w:val="6"/>
        </w:numPr>
        <w:spacing w:after="0" w:line="240" w:lineRule="auto"/>
        <w:ind w:left="993" w:hanging="425"/>
        <w:jc w:val="both"/>
        <w:rPr>
          <w:rFonts w:ascii="Tahoma" w:hAnsi="Tahoma" w:cs="Tahoma"/>
          <w:sz w:val="21"/>
          <w:szCs w:val="21"/>
        </w:rPr>
      </w:pPr>
      <w:r w:rsidRPr="00CC31AC">
        <w:rPr>
          <w:rFonts w:ascii="Tahoma" w:hAnsi="Tahoma" w:cs="Tahoma"/>
          <w:sz w:val="21"/>
          <w:szCs w:val="21"/>
        </w:rPr>
        <w:t xml:space="preserve">Mediante Carta Nº 1771-GCL-OGA-ESSALUD-2008, diligenciada mediante conducto notarial el 30 de julio de 2008, la Entidad comunicó a la Contratista que había decido resolver el Contrato Nº 4600025748, respecto de los ítems 2, 10, 18, 21, 41, 49, 82, 83, 84, 93, 95, 103 y 111, dado que no había cumplido con entregar los bienes requeridos, a  pesar de haberle  otorgado un plazo adicional para tal fin.  </w:t>
      </w:r>
    </w:p>
    <w:p w:rsidR="00CC31AC" w:rsidRPr="00CC31AC" w:rsidRDefault="00CC31AC" w:rsidP="00CC31AC">
      <w:pPr>
        <w:ind w:left="567" w:hanging="425"/>
        <w:rPr>
          <w:rFonts w:ascii="Tahoma" w:hAnsi="Tahoma" w:cs="Tahoma"/>
          <w:sz w:val="21"/>
          <w:szCs w:val="21"/>
        </w:rPr>
      </w:pPr>
      <w:r w:rsidRPr="00CC31AC">
        <w:rPr>
          <w:rFonts w:ascii="Tahoma" w:hAnsi="Tahoma" w:cs="Tahoma"/>
          <w:sz w:val="21"/>
          <w:szCs w:val="21"/>
        </w:rPr>
        <w:t xml:space="preserve"> </w:t>
      </w:r>
    </w:p>
    <w:p w:rsidR="00CC31AC" w:rsidRPr="00CC31AC" w:rsidRDefault="00CC31AC" w:rsidP="00CC31AC">
      <w:pPr>
        <w:pStyle w:val="Sinespaciado"/>
        <w:numPr>
          <w:ilvl w:val="0"/>
          <w:numId w:val="7"/>
        </w:numPr>
        <w:ind w:left="567" w:hanging="567"/>
        <w:jc w:val="both"/>
        <w:rPr>
          <w:rFonts w:ascii="Tahoma" w:hAnsi="Tahoma" w:cs="Tahoma"/>
          <w:sz w:val="21"/>
          <w:szCs w:val="21"/>
        </w:rPr>
      </w:pPr>
      <w:r w:rsidRPr="00CC31AC">
        <w:rPr>
          <w:rFonts w:ascii="Tahoma" w:hAnsi="Tahoma" w:cs="Tahoma"/>
          <w:sz w:val="21"/>
          <w:szCs w:val="21"/>
        </w:rPr>
        <w:t>En tal sentido, se verifica que la Entidad ha observado la formalidad de comunicar dos cartas notariales para la resolución del Contrato Nº 4600025748, siendo la primera carta notarial de requerimiento a la empresa Logística y Adquisiciones E.I.R.L. para el cumplimiento de sus obligaciones y, la segunda, de resolución del contrato citado, de conformidad con el artículo 226 del Reglamento.</w:t>
      </w:r>
    </w:p>
    <w:p w:rsidR="00CC31AC" w:rsidRPr="00CC31AC" w:rsidRDefault="00CC31AC" w:rsidP="00CC31AC">
      <w:pPr>
        <w:pStyle w:val="Sinespaciado"/>
        <w:ind w:left="567" w:hanging="425"/>
        <w:jc w:val="both"/>
        <w:rPr>
          <w:rFonts w:ascii="Tahoma" w:hAnsi="Tahoma" w:cs="Tahoma"/>
          <w:sz w:val="21"/>
          <w:szCs w:val="21"/>
        </w:rPr>
      </w:pPr>
    </w:p>
    <w:p w:rsidR="00CC31AC" w:rsidRPr="00CC31AC" w:rsidRDefault="00CC31AC" w:rsidP="00CC31AC">
      <w:pPr>
        <w:pStyle w:val="Sinespaciado"/>
        <w:numPr>
          <w:ilvl w:val="0"/>
          <w:numId w:val="7"/>
        </w:numPr>
        <w:ind w:left="567" w:hanging="567"/>
        <w:jc w:val="both"/>
        <w:rPr>
          <w:rFonts w:ascii="Tahoma" w:hAnsi="Tahoma" w:cs="Tahoma"/>
          <w:sz w:val="21"/>
          <w:szCs w:val="21"/>
        </w:rPr>
      </w:pPr>
      <w:r w:rsidRPr="00CC31AC">
        <w:rPr>
          <w:rFonts w:ascii="Tahoma" w:hAnsi="Tahoma" w:cs="Tahoma"/>
          <w:sz w:val="21"/>
          <w:szCs w:val="21"/>
        </w:rPr>
        <w:t>Por otro lado, se advierte que la Entidad ha informado al Tribunal que la resolución del Contrato Nº 4600025748 no había sido sometida a proceso arbitral u otro mecanismo de solución de conflictos.</w:t>
      </w:r>
    </w:p>
    <w:p w:rsidR="00CC31AC" w:rsidRPr="00CC31AC" w:rsidRDefault="00CC31AC" w:rsidP="00CC31AC">
      <w:pPr>
        <w:pStyle w:val="Prrafodelista"/>
        <w:rPr>
          <w:rFonts w:ascii="Tahoma" w:eastAsia="Calibri" w:hAnsi="Tahoma" w:cs="Tahoma"/>
          <w:sz w:val="21"/>
          <w:szCs w:val="21"/>
        </w:rPr>
      </w:pPr>
    </w:p>
    <w:p w:rsidR="00CC31AC" w:rsidRPr="00CC31AC" w:rsidRDefault="00CC31AC" w:rsidP="00CC31AC">
      <w:pPr>
        <w:pStyle w:val="Sinespaciado"/>
        <w:ind w:left="567"/>
        <w:jc w:val="both"/>
        <w:rPr>
          <w:rFonts w:ascii="Tahoma" w:hAnsi="Tahoma" w:cs="Tahoma"/>
          <w:sz w:val="21"/>
          <w:szCs w:val="21"/>
        </w:rPr>
      </w:pPr>
      <w:r w:rsidRPr="00CC31AC">
        <w:rPr>
          <w:rFonts w:ascii="Tahoma" w:eastAsia="Calibri" w:hAnsi="Tahoma" w:cs="Tahoma"/>
          <w:sz w:val="21"/>
          <w:szCs w:val="21"/>
        </w:rPr>
        <w:t xml:space="preserve">De la revisión de los antecedentes administrativos, se observa que la Contratista no ha sometido, dentro del plazo señalado, la controversia a arbitraje o a conciliación, razón por la cual se concluye que la resolución del Contrato referido a su favor ha quedado consentida. </w:t>
      </w:r>
    </w:p>
    <w:p w:rsidR="00CC31AC" w:rsidRPr="00CC31AC" w:rsidRDefault="00CC31AC" w:rsidP="00CC31AC">
      <w:pPr>
        <w:pStyle w:val="Prrafodelista"/>
        <w:rPr>
          <w:rFonts w:ascii="Tahoma" w:hAnsi="Tahoma" w:cs="Tahoma"/>
          <w:sz w:val="21"/>
          <w:szCs w:val="21"/>
        </w:rPr>
      </w:pPr>
    </w:p>
    <w:p w:rsidR="00CC31AC" w:rsidRPr="00CC31AC" w:rsidRDefault="00CC31AC" w:rsidP="00CC31AC">
      <w:pPr>
        <w:pStyle w:val="Sinespaciado"/>
        <w:ind w:left="567"/>
        <w:jc w:val="both"/>
        <w:rPr>
          <w:rFonts w:ascii="Tahoma" w:hAnsi="Tahoma" w:cs="Tahoma"/>
          <w:sz w:val="21"/>
          <w:szCs w:val="21"/>
        </w:rPr>
      </w:pPr>
      <w:r w:rsidRPr="00CC31AC">
        <w:rPr>
          <w:rFonts w:ascii="Tahoma" w:hAnsi="Tahoma" w:cs="Tahoma"/>
          <w:sz w:val="21"/>
          <w:szCs w:val="21"/>
        </w:rPr>
        <w:t xml:space="preserve">En ese sentido, ha quedado determinado que la Contratista ha consentido los efectos de la resolución del Contrato Nº 4600025748. </w:t>
      </w:r>
    </w:p>
    <w:p w:rsidR="00CC31AC" w:rsidRPr="00CC31AC" w:rsidRDefault="00CC31AC" w:rsidP="00CC31AC">
      <w:pPr>
        <w:pStyle w:val="Prrafodelista"/>
        <w:rPr>
          <w:rFonts w:ascii="Tahoma" w:hAnsi="Tahoma" w:cs="Tahoma"/>
          <w:sz w:val="21"/>
          <w:szCs w:val="21"/>
        </w:rPr>
      </w:pPr>
    </w:p>
    <w:p w:rsidR="00CC31AC" w:rsidRPr="00CC31AC" w:rsidRDefault="00CC31AC" w:rsidP="00CC31AC">
      <w:pPr>
        <w:pStyle w:val="Sinespaciado"/>
        <w:numPr>
          <w:ilvl w:val="0"/>
          <w:numId w:val="7"/>
        </w:numPr>
        <w:ind w:left="567" w:hanging="567"/>
        <w:jc w:val="both"/>
        <w:rPr>
          <w:rFonts w:ascii="Tahoma" w:hAnsi="Tahoma" w:cs="Tahoma"/>
          <w:sz w:val="21"/>
          <w:szCs w:val="21"/>
        </w:rPr>
      </w:pPr>
      <w:r w:rsidRPr="00CC31AC">
        <w:rPr>
          <w:rFonts w:ascii="Tahoma" w:hAnsi="Tahoma" w:cs="Tahoma"/>
          <w:sz w:val="21"/>
          <w:szCs w:val="21"/>
        </w:rPr>
        <w:t>Por lo señalado, corresponde a este Colegiado determinar si dicha conducta resultó justificada o no, en tanto que solamente el incumplimiento que obedece a causas injustificadas atribuibles a los contratistas es sancionable administrativamente, en estricta observancia del Principio de Tipicidad previsto en el artículo 230 de la Ley № 27444, Ley del Procedimiento Administrativo General, en cuya virtud sólo constituyen conductas sancionables administrativamente las infracciones previstas expresamente en normas con rango de ley mediante su tipificación como tales, sin admitir interpretación extensiva o por analogía.</w:t>
      </w:r>
    </w:p>
    <w:p w:rsidR="00CC31AC" w:rsidRPr="00CC31AC" w:rsidRDefault="00CC31AC" w:rsidP="00CC31AC">
      <w:pPr>
        <w:pStyle w:val="Sinespaciado"/>
        <w:ind w:left="567"/>
        <w:jc w:val="both"/>
        <w:rPr>
          <w:rFonts w:ascii="Tahoma" w:hAnsi="Tahoma" w:cs="Tahoma"/>
          <w:sz w:val="21"/>
          <w:szCs w:val="21"/>
        </w:rPr>
      </w:pPr>
    </w:p>
    <w:p w:rsidR="00CC31AC" w:rsidRPr="00CC31AC" w:rsidRDefault="00CC31AC" w:rsidP="00CC31AC">
      <w:pPr>
        <w:pStyle w:val="Sinespaciado"/>
        <w:numPr>
          <w:ilvl w:val="0"/>
          <w:numId w:val="7"/>
        </w:numPr>
        <w:ind w:left="567" w:hanging="567"/>
        <w:jc w:val="both"/>
        <w:rPr>
          <w:rFonts w:ascii="Tahoma" w:hAnsi="Tahoma" w:cs="Tahoma"/>
          <w:sz w:val="21"/>
          <w:szCs w:val="21"/>
        </w:rPr>
      </w:pPr>
      <w:r w:rsidRPr="00CC31AC">
        <w:rPr>
          <w:rFonts w:ascii="Tahoma" w:hAnsi="Tahoma" w:cs="Tahoma"/>
          <w:sz w:val="21"/>
          <w:szCs w:val="21"/>
        </w:rPr>
        <w:t xml:space="preserve">Cabe anotar que existe una presunción legal de que el incumplimiento de obligaciones o su cumplimiento parcial, tardío o defectuoso, es atribuible a la parte </w:t>
      </w:r>
      <w:r w:rsidRPr="00CC31AC">
        <w:rPr>
          <w:rFonts w:ascii="Tahoma" w:hAnsi="Tahoma" w:cs="Tahoma"/>
          <w:sz w:val="21"/>
          <w:szCs w:val="21"/>
        </w:rPr>
        <w:lastRenderedPageBreak/>
        <w:t>que debió ejecutarlas, salvo que ésta demuestre que el incumplimiento se produjo, a pesar de haber actuado con la diligencia ordinaria exigida por la naturaleza de la prestación, o que la causa de ella fue un caso fortuito o fuerza mayor</w:t>
      </w:r>
      <w:r w:rsidRPr="00CC31AC">
        <w:rPr>
          <w:rStyle w:val="Refdenotaalpie"/>
          <w:rFonts w:ascii="Tahoma" w:hAnsi="Tahoma" w:cs="Tahoma"/>
          <w:sz w:val="21"/>
          <w:szCs w:val="21"/>
        </w:rPr>
        <w:footnoteReference w:id="5"/>
      </w:r>
      <w:r w:rsidRPr="00CC31AC">
        <w:rPr>
          <w:rFonts w:ascii="Tahoma" w:hAnsi="Tahoma" w:cs="Tahoma"/>
          <w:sz w:val="21"/>
          <w:szCs w:val="21"/>
        </w:rPr>
        <w:t>.</w:t>
      </w:r>
    </w:p>
    <w:p w:rsidR="00CC31AC" w:rsidRPr="00CC31AC" w:rsidRDefault="00CC31AC" w:rsidP="00CC31AC">
      <w:pPr>
        <w:pStyle w:val="Prrafodelista"/>
        <w:rPr>
          <w:rFonts w:ascii="Tahoma" w:hAnsi="Tahoma" w:cs="Tahoma"/>
          <w:sz w:val="21"/>
          <w:szCs w:val="21"/>
        </w:rPr>
      </w:pPr>
    </w:p>
    <w:p w:rsidR="00CC31AC" w:rsidRPr="00CC31AC" w:rsidRDefault="00CC31AC" w:rsidP="00CC31AC">
      <w:pPr>
        <w:pStyle w:val="Sinespaciado"/>
        <w:numPr>
          <w:ilvl w:val="0"/>
          <w:numId w:val="7"/>
        </w:numPr>
        <w:ind w:left="567" w:hanging="567"/>
        <w:jc w:val="both"/>
        <w:rPr>
          <w:rFonts w:ascii="Tahoma" w:hAnsi="Tahoma" w:cs="Tahoma"/>
          <w:sz w:val="21"/>
          <w:szCs w:val="21"/>
        </w:rPr>
      </w:pPr>
      <w:r w:rsidRPr="00CC31AC">
        <w:rPr>
          <w:rFonts w:ascii="Tahoma" w:hAnsi="Tahoma" w:cs="Tahoma"/>
          <w:sz w:val="21"/>
          <w:szCs w:val="21"/>
        </w:rPr>
        <w:t>Sin embargo, es preciso tener en cuenta que la Contratista no ha formulado sus descargos, a pesar de haber sido debidamente notificado mediante Cédula Nº 28006/2010.TC y según cargo que obra en autos.</w:t>
      </w:r>
    </w:p>
    <w:p w:rsidR="00CC31AC" w:rsidRPr="00CC31AC" w:rsidRDefault="00CC31AC" w:rsidP="00CC31AC">
      <w:pPr>
        <w:pStyle w:val="Prrafodelista"/>
        <w:rPr>
          <w:rFonts w:ascii="Tahoma" w:hAnsi="Tahoma" w:cs="Tahoma"/>
          <w:sz w:val="21"/>
          <w:szCs w:val="21"/>
        </w:rPr>
      </w:pPr>
    </w:p>
    <w:p w:rsidR="00CC31AC" w:rsidRPr="00CC31AC" w:rsidRDefault="00CC31AC" w:rsidP="00CC31AC">
      <w:pPr>
        <w:pStyle w:val="Sinespaciado"/>
        <w:numPr>
          <w:ilvl w:val="0"/>
          <w:numId w:val="7"/>
        </w:numPr>
        <w:ind w:left="567" w:hanging="567"/>
        <w:jc w:val="both"/>
        <w:rPr>
          <w:rFonts w:ascii="Tahoma" w:hAnsi="Tahoma" w:cs="Tahoma"/>
          <w:sz w:val="21"/>
          <w:szCs w:val="21"/>
        </w:rPr>
      </w:pPr>
      <w:r w:rsidRPr="00CC31AC">
        <w:rPr>
          <w:rFonts w:ascii="Tahoma" w:hAnsi="Tahoma" w:cs="Tahoma"/>
          <w:sz w:val="21"/>
          <w:szCs w:val="21"/>
        </w:rPr>
        <w:t xml:space="preserve">Por lo expuesto, atendiendo que no obra en el expediente medio probatorio que justifique el incumplimiento de las obligaciones a cargo de la Contratista; este Tribunal considera que corresponde imponerle sanción administrativa por haber incurrido en la causal prevista en el </w:t>
      </w:r>
      <w:r w:rsidRPr="00CC31AC">
        <w:rPr>
          <w:rFonts w:ascii="Tahoma" w:eastAsia="MS Mincho" w:hAnsi="Tahoma" w:cs="Tahoma"/>
          <w:sz w:val="21"/>
          <w:szCs w:val="21"/>
        </w:rPr>
        <w:t>numeral 2) del artículo 294 del Reglamento</w:t>
      </w:r>
      <w:r w:rsidRPr="00CC31AC">
        <w:rPr>
          <w:rFonts w:ascii="Tahoma" w:hAnsi="Tahoma" w:cs="Tahoma"/>
          <w:sz w:val="21"/>
          <w:szCs w:val="21"/>
        </w:rPr>
        <w:t xml:space="preserve">. </w:t>
      </w:r>
    </w:p>
    <w:p w:rsidR="00CC31AC" w:rsidRPr="00CC31AC" w:rsidRDefault="00CC31AC" w:rsidP="00CC31AC">
      <w:pPr>
        <w:pStyle w:val="Prrafodelista"/>
        <w:rPr>
          <w:rFonts w:ascii="Tahoma" w:hAnsi="Tahoma" w:cs="Tahoma"/>
          <w:sz w:val="21"/>
          <w:szCs w:val="21"/>
        </w:rPr>
      </w:pPr>
    </w:p>
    <w:p w:rsidR="00CC31AC" w:rsidRPr="00CC31AC" w:rsidRDefault="00CC31AC" w:rsidP="00CC31AC">
      <w:pPr>
        <w:pStyle w:val="Sinespaciado"/>
        <w:numPr>
          <w:ilvl w:val="0"/>
          <w:numId w:val="7"/>
        </w:numPr>
        <w:ind w:left="567" w:hanging="567"/>
        <w:jc w:val="both"/>
        <w:rPr>
          <w:rFonts w:ascii="Tahoma" w:hAnsi="Tahoma" w:cs="Tahoma"/>
          <w:sz w:val="21"/>
          <w:szCs w:val="21"/>
        </w:rPr>
      </w:pPr>
      <w:r w:rsidRPr="00CC31AC">
        <w:rPr>
          <w:rFonts w:ascii="Tahoma" w:hAnsi="Tahoma" w:cs="Tahoma"/>
          <w:sz w:val="21"/>
          <w:szCs w:val="21"/>
        </w:rPr>
        <w:t xml:space="preserve">Ahora bien, </w:t>
      </w:r>
      <w:r w:rsidRPr="00CC31AC">
        <w:rPr>
          <w:rFonts w:ascii="Tahoma" w:eastAsia="MS Mincho" w:hAnsi="Tahoma" w:cs="Tahoma"/>
          <w:sz w:val="21"/>
          <w:szCs w:val="21"/>
        </w:rPr>
        <w:t xml:space="preserve">de la revisión de </w:t>
      </w:r>
      <w:r w:rsidRPr="00CC31AC">
        <w:rPr>
          <w:rFonts w:ascii="Tahoma" w:hAnsi="Tahoma" w:cs="Tahoma"/>
          <w:sz w:val="21"/>
          <w:szCs w:val="21"/>
        </w:rPr>
        <w:t>la Base de Datos del Capítulo de Inhabilitados para Contratar con el Estado del Registro Nacional de Proveedores, se ha podido verificar que la Contratista, ha sido sancionada con dieciséis (16) meses de inhabilitación para contratar con el Estado, mediante Resolución Nº 399-2010-TC-S3, por haber cometido la infracción contenida en el numeral 2) del artículo 294 del Reglamento. Así también con diecisiete (17) meses mediante Resolución Nº 1238-2010-TC-S1 por haber cometido la infracción contenida en el numeral 2) del artículo 294 del Reglamento, y con doce (12) meses mediante Resolución Nº 030-2011-TC-S3 por haber cometido la infracción contenida en el numeral 2) del artículo 294 del Reglamento.</w:t>
      </w:r>
    </w:p>
    <w:p w:rsidR="00CC31AC" w:rsidRPr="00CC31AC" w:rsidRDefault="00CC31AC" w:rsidP="00CC31AC">
      <w:pPr>
        <w:pStyle w:val="Prrafodelista"/>
        <w:rPr>
          <w:rFonts w:ascii="Tahoma" w:hAnsi="Tahoma" w:cs="Tahoma"/>
          <w:sz w:val="21"/>
          <w:szCs w:val="21"/>
          <w:lang w:val="es-PE"/>
        </w:rPr>
      </w:pPr>
    </w:p>
    <w:p w:rsidR="00CC31AC" w:rsidRPr="00CC31AC" w:rsidRDefault="00CC31AC" w:rsidP="00CC31AC">
      <w:pPr>
        <w:pStyle w:val="Sinespaciado"/>
        <w:numPr>
          <w:ilvl w:val="0"/>
          <w:numId w:val="7"/>
        </w:numPr>
        <w:ind w:left="567" w:hanging="567"/>
        <w:jc w:val="both"/>
        <w:rPr>
          <w:rFonts w:ascii="Tahoma" w:hAnsi="Tahoma" w:cs="Tahoma"/>
          <w:sz w:val="21"/>
          <w:szCs w:val="21"/>
        </w:rPr>
      </w:pPr>
      <w:r w:rsidRPr="00CC31AC">
        <w:rPr>
          <w:rFonts w:ascii="Tahoma" w:hAnsi="Tahoma" w:cs="Tahoma"/>
          <w:sz w:val="21"/>
          <w:szCs w:val="21"/>
          <w:lang w:val="es-PE"/>
        </w:rPr>
        <w:t>Atendiendo a la situación registral del Contratista y a la determinación de su responsabilidad en el presente caso, es pertinente citar el numeral 5 del artículo 230 de la Ley del Procedimiento Administrativo General, el cual desarrolla el principio de irretroactividad en los términos siguientes: “</w:t>
      </w:r>
      <w:r w:rsidRPr="00CC31AC">
        <w:rPr>
          <w:rFonts w:ascii="Tahoma" w:hAnsi="Tahoma" w:cs="Tahoma"/>
          <w:i/>
          <w:iCs/>
          <w:sz w:val="21"/>
          <w:szCs w:val="21"/>
          <w:lang w:val="es-PE"/>
        </w:rPr>
        <w:t xml:space="preserve">Son aplicables las disposiciones sancionadoras vigentes en el momento de incurrir el administrado en la conducta a sancionar, </w:t>
      </w:r>
      <w:r w:rsidRPr="00CC31AC">
        <w:rPr>
          <w:rFonts w:ascii="Tahoma" w:hAnsi="Tahoma" w:cs="Tahoma"/>
          <w:b/>
          <w:bCs/>
          <w:i/>
          <w:iCs/>
          <w:sz w:val="21"/>
          <w:szCs w:val="21"/>
          <w:lang w:val="es-PE"/>
        </w:rPr>
        <w:t>salvo que las posteriores le sean más favorables</w:t>
      </w:r>
      <w:r w:rsidRPr="00CC31AC">
        <w:rPr>
          <w:rFonts w:ascii="Tahoma" w:hAnsi="Tahoma" w:cs="Tahoma"/>
          <w:sz w:val="21"/>
          <w:szCs w:val="21"/>
          <w:lang w:val="es-PE"/>
        </w:rPr>
        <w:t xml:space="preserve">”.  De esta manera, en la parte </w:t>
      </w:r>
      <w:r w:rsidRPr="00CC31AC">
        <w:rPr>
          <w:rFonts w:ascii="Tahoma" w:hAnsi="Tahoma" w:cs="Tahoma"/>
          <w:i/>
          <w:iCs/>
          <w:sz w:val="21"/>
          <w:szCs w:val="21"/>
          <w:lang w:val="es-PE"/>
        </w:rPr>
        <w:t xml:space="preserve">in fine </w:t>
      </w:r>
      <w:r w:rsidRPr="00CC31AC">
        <w:rPr>
          <w:rFonts w:ascii="Tahoma" w:hAnsi="Tahoma" w:cs="Tahoma"/>
          <w:sz w:val="21"/>
          <w:szCs w:val="21"/>
          <w:lang w:val="es-PE"/>
        </w:rPr>
        <w:t xml:space="preserve">de este artículo, se recoge la denominada retroactividad benigna, principio aplicable en materia penal (Conforme a lo descrito en el artículo 103º de la Constitución Política del Perú) y que es extensiva a la potestad sancionadora administrativa, al ser ambos manifestaciones del poder punitivo del Estado, siempre y cuando no medie ley en contrario que excluya de estas garantías a determinados procedimientos administrativa. </w:t>
      </w:r>
    </w:p>
    <w:p w:rsidR="00CC31AC" w:rsidRPr="00CC31AC" w:rsidRDefault="00CC31AC" w:rsidP="00CC31AC">
      <w:pPr>
        <w:pStyle w:val="Prrafodelista"/>
        <w:rPr>
          <w:rFonts w:ascii="Tahoma" w:hAnsi="Tahoma" w:cs="Tahoma"/>
          <w:sz w:val="21"/>
          <w:szCs w:val="21"/>
          <w:lang w:val="es-PE"/>
        </w:rPr>
      </w:pPr>
    </w:p>
    <w:p w:rsidR="00CC31AC" w:rsidRPr="00CC31AC" w:rsidRDefault="00CC31AC" w:rsidP="00CC31AC">
      <w:pPr>
        <w:pStyle w:val="Sinespaciado"/>
        <w:numPr>
          <w:ilvl w:val="0"/>
          <w:numId w:val="7"/>
        </w:numPr>
        <w:ind w:left="567" w:hanging="567"/>
        <w:jc w:val="both"/>
        <w:rPr>
          <w:rFonts w:ascii="Tahoma" w:hAnsi="Tahoma" w:cs="Tahoma"/>
          <w:sz w:val="21"/>
          <w:szCs w:val="21"/>
        </w:rPr>
      </w:pPr>
      <w:r w:rsidRPr="00CC31AC">
        <w:rPr>
          <w:rFonts w:ascii="Tahoma" w:hAnsi="Tahoma" w:cs="Tahoma"/>
          <w:sz w:val="21"/>
          <w:szCs w:val="21"/>
          <w:lang w:val="es-PE"/>
        </w:rPr>
        <w:t>Así, en el caso que nos ocupa, si bien corresponde la aplicación del artículo 303</w:t>
      </w:r>
      <w:r w:rsidRPr="00CC31AC">
        <w:rPr>
          <w:rFonts w:ascii="Tahoma" w:hAnsi="Tahoma" w:cs="Tahoma"/>
          <w:sz w:val="21"/>
          <w:szCs w:val="21"/>
          <w:vertAlign w:val="superscript"/>
          <w:lang w:val="es-PE"/>
        </w:rPr>
        <w:footnoteReference w:id="6"/>
      </w:r>
      <w:r w:rsidRPr="00CC31AC">
        <w:rPr>
          <w:rFonts w:ascii="Tahoma" w:hAnsi="Tahoma" w:cs="Tahoma"/>
          <w:sz w:val="21"/>
          <w:szCs w:val="21"/>
          <w:lang w:val="es-PE"/>
        </w:rPr>
        <w:t xml:space="preserve"> del Reglamento y, en consecuencia, la imposición de la inhabilitación definitiva del </w:t>
      </w:r>
      <w:r w:rsidRPr="00CC31AC">
        <w:rPr>
          <w:rFonts w:ascii="Tahoma" w:hAnsi="Tahoma" w:cs="Tahoma"/>
          <w:sz w:val="21"/>
          <w:szCs w:val="21"/>
          <w:lang w:val="es-PE"/>
        </w:rPr>
        <w:lastRenderedPageBreak/>
        <w:t>Postor, por cuanto se ha verificado que éste ha acumulado, en un periodo de tres años, sanciones cuyo tiempo sumado es mayor a veinticuatro (24) meses; de la lectura del artículo 246</w:t>
      </w:r>
      <w:r w:rsidRPr="00CC31AC">
        <w:rPr>
          <w:rFonts w:ascii="Tahoma" w:hAnsi="Tahoma" w:cs="Tahoma"/>
          <w:sz w:val="21"/>
          <w:szCs w:val="21"/>
          <w:vertAlign w:val="superscript"/>
          <w:lang w:val="es-PE"/>
        </w:rPr>
        <w:footnoteReference w:id="7"/>
      </w:r>
      <w:r w:rsidRPr="00CC31AC">
        <w:rPr>
          <w:rFonts w:ascii="Tahoma" w:hAnsi="Tahoma" w:cs="Tahoma"/>
          <w:sz w:val="21"/>
          <w:szCs w:val="21"/>
          <w:lang w:val="es-PE"/>
        </w:rPr>
        <w:t xml:space="preserve"> del actual Reglamento de la Ley de Contrataciones del Estado</w:t>
      </w:r>
      <w:r w:rsidRPr="00CC31AC">
        <w:rPr>
          <w:rFonts w:ascii="Tahoma" w:hAnsi="Tahoma" w:cs="Tahoma"/>
          <w:sz w:val="21"/>
          <w:szCs w:val="21"/>
          <w:vertAlign w:val="superscript"/>
          <w:lang w:val="es-PE"/>
        </w:rPr>
        <w:footnoteReference w:id="8"/>
      </w:r>
      <w:r w:rsidRPr="00CC31AC">
        <w:rPr>
          <w:rFonts w:ascii="Tahoma" w:hAnsi="Tahoma" w:cs="Tahoma"/>
          <w:sz w:val="21"/>
          <w:szCs w:val="21"/>
          <w:lang w:val="es-PE"/>
        </w:rPr>
        <w:t xml:space="preserve"> se aprecia que la sanción contenida en éste es comparativamente más favorable a la comprendida en la norma vigente al suscitarse los hechos denunciados, toda vez que amplía el período total de acumulación de tiempo de sanción a tomar en cuenta para la aplicación de la inhabilitación definitiva (De </w:t>
      </w:r>
      <w:smartTag w:uri="urn:schemas-microsoft-com:office:smarttags" w:element="metricconverter">
        <w:smartTagPr>
          <w:attr w:name="ProductID" w:val="24 a"/>
        </w:smartTagPr>
        <w:r w:rsidRPr="00CC31AC">
          <w:rPr>
            <w:rFonts w:ascii="Tahoma" w:hAnsi="Tahoma" w:cs="Tahoma"/>
            <w:sz w:val="21"/>
            <w:szCs w:val="21"/>
            <w:lang w:val="es-PE"/>
          </w:rPr>
          <w:t>24 a</w:t>
        </w:r>
      </w:smartTag>
      <w:r w:rsidRPr="00CC31AC">
        <w:rPr>
          <w:rFonts w:ascii="Tahoma" w:hAnsi="Tahoma" w:cs="Tahoma"/>
          <w:sz w:val="21"/>
          <w:szCs w:val="21"/>
          <w:lang w:val="es-PE"/>
        </w:rPr>
        <w:t xml:space="preserve"> 36 meses), así como el periodo de referencia (De </w:t>
      </w:r>
      <w:smartTag w:uri="urn:schemas-microsoft-com:office:smarttags" w:element="metricconverter">
        <w:smartTagPr>
          <w:attr w:name="ProductID" w:val="3 a"/>
        </w:smartTagPr>
        <w:r w:rsidRPr="00CC31AC">
          <w:rPr>
            <w:rFonts w:ascii="Tahoma" w:hAnsi="Tahoma" w:cs="Tahoma"/>
            <w:sz w:val="21"/>
            <w:szCs w:val="21"/>
            <w:lang w:val="es-PE"/>
          </w:rPr>
          <w:t>3 a</w:t>
        </w:r>
      </w:smartTag>
      <w:r w:rsidRPr="00CC31AC">
        <w:rPr>
          <w:rFonts w:ascii="Tahoma" w:hAnsi="Tahoma" w:cs="Tahoma"/>
          <w:sz w:val="21"/>
          <w:szCs w:val="21"/>
          <w:lang w:val="es-PE"/>
        </w:rPr>
        <w:t xml:space="preserve"> 4 años); motivo por el cual, este Tribunal prefiere su aplicación de manera retroactiva, de conformidad con el principio de retroactividad benigna contemplado en el artículo 230 de la Ley del Procedimiento Administrativo General.</w:t>
      </w:r>
    </w:p>
    <w:p w:rsidR="00CC31AC" w:rsidRPr="00CC31AC" w:rsidRDefault="00CC31AC" w:rsidP="00CC31AC">
      <w:pPr>
        <w:pStyle w:val="Prrafodelista"/>
        <w:rPr>
          <w:rFonts w:ascii="Tahoma" w:hAnsi="Tahoma" w:cs="Tahoma"/>
          <w:sz w:val="21"/>
          <w:szCs w:val="21"/>
          <w:lang w:val="es-PE"/>
        </w:rPr>
      </w:pPr>
    </w:p>
    <w:p w:rsidR="00CC31AC" w:rsidRPr="00CC31AC" w:rsidRDefault="00CC31AC" w:rsidP="00CC31AC">
      <w:pPr>
        <w:pStyle w:val="Sinespaciado"/>
        <w:numPr>
          <w:ilvl w:val="0"/>
          <w:numId w:val="7"/>
        </w:numPr>
        <w:ind w:left="567" w:hanging="567"/>
        <w:jc w:val="both"/>
        <w:rPr>
          <w:rFonts w:ascii="Tahoma" w:hAnsi="Tahoma" w:cs="Tahoma"/>
          <w:sz w:val="21"/>
          <w:szCs w:val="21"/>
        </w:rPr>
      </w:pPr>
      <w:r w:rsidRPr="00CC31AC">
        <w:rPr>
          <w:rFonts w:ascii="Tahoma" w:hAnsi="Tahoma" w:cs="Tahoma"/>
          <w:sz w:val="21"/>
          <w:szCs w:val="21"/>
          <w:lang w:val="es-PE"/>
        </w:rPr>
        <w:t>Por lo tanto, al constatarse que la empresa LOGISTICA Y ADQUISICIONES E.I.R.L. cuenta con inhabilitaciones temporales cuyo tiempo acumulado es de 45 meses dentro de un lapso de cuatro (4) años, corresponde imponerle sanción de inhabilitación definitiva.</w:t>
      </w:r>
    </w:p>
    <w:p w:rsidR="006F3F00" w:rsidRPr="00CC31AC" w:rsidRDefault="006F3F00" w:rsidP="006F3F00">
      <w:pPr>
        <w:pStyle w:val="Prrafodelista"/>
        <w:rPr>
          <w:rFonts w:ascii="Tahoma" w:hAnsi="Tahoma" w:cs="Tahoma"/>
          <w:sz w:val="21"/>
          <w:szCs w:val="21"/>
          <w:lang w:val="es-ES"/>
        </w:rPr>
      </w:pPr>
    </w:p>
    <w:p w:rsidR="006F3F00" w:rsidRPr="00CC31AC" w:rsidRDefault="006F3F00" w:rsidP="006F3F00">
      <w:pPr>
        <w:tabs>
          <w:tab w:val="left" w:pos="567"/>
        </w:tabs>
        <w:autoSpaceDE w:val="0"/>
        <w:autoSpaceDN w:val="0"/>
        <w:adjustRightInd w:val="0"/>
        <w:ind w:left="567" w:hanging="1440"/>
        <w:jc w:val="both"/>
        <w:rPr>
          <w:rFonts w:ascii="Tahoma" w:eastAsiaTheme="minorHAnsi" w:hAnsi="Tahoma" w:cs="Tahoma"/>
          <w:color w:val="000000"/>
          <w:sz w:val="21"/>
          <w:szCs w:val="21"/>
          <w:lang w:eastAsia="en-US"/>
        </w:rPr>
      </w:pPr>
      <w:r w:rsidRPr="00CC31AC">
        <w:rPr>
          <w:rFonts w:ascii="Tahoma" w:eastAsiaTheme="minorHAnsi" w:hAnsi="Tahoma" w:cs="Tahoma"/>
          <w:color w:val="000000"/>
          <w:sz w:val="21"/>
          <w:szCs w:val="21"/>
          <w:lang w:eastAsia="en-US"/>
        </w:rPr>
        <w:tab/>
        <w:t>Por estos fundamentos, de conformidad con el informe del Vocal Ponente Dra. Ada Basulto Liewald y la intervención de los Vocales Dr. Carlos Vicente Navas Rondón y Dra. Janette Elke Ramírez Maynetto,  atendiendo a la reconformación de la Primera Sala del Tribunal de Contrataciones del Estado, según lo dispuesto en la Resolución № 103-2011-OSCE/PRE, expedida el 15 de febrero de 2011; y, en ejercicio de las facultades conferidas en los artículos 51 y 63 de la Ley de Contrataciones del Estado, aprobada por Decreto Legislativo № 1017, su Reglamento, aprobado por Decreto Supremo № 184-2008-EF, y los artículos 17 y 18 del Reglamento de Organización y Funciones del OSCE, aprobado por Decreto Supremo № 006-2009-EF, analizados los antecedentes y luego de agotado el debate correspondiente, por unanimidad</w:t>
      </w:r>
    </w:p>
    <w:p w:rsidR="006F3F00" w:rsidRPr="00CC31AC" w:rsidRDefault="006F3F00" w:rsidP="006F3F00">
      <w:pPr>
        <w:jc w:val="both"/>
        <w:rPr>
          <w:rFonts w:ascii="Tahoma" w:hAnsi="Tahoma" w:cs="Tahoma"/>
          <w:sz w:val="21"/>
          <w:szCs w:val="21"/>
        </w:rPr>
      </w:pPr>
    </w:p>
    <w:p w:rsidR="006F3F00" w:rsidRPr="00CC31AC" w:rsidRDefault="006F3F00" w:rsidP="006F3F00">
      <w:pPr>
        <w:ind w:firstLine="567"/>
        <w:jc w:val="both"/>
        <w:rPr>
          <w:rFonts w:ascii="Tahoma" w:hAnsi="Tahoma" w:cs="Tahoma"/>
          <w:b/>
          <w:sz w:val="21"/>
          <w:szCs w:val="21"/>
        </w:rPr>
      </w:pPr>
      <w:r w:rsidRPr="00CC31AC">
        <w:rPr>
          <w:rFonts w:ascii="Tahoma" w:hAnsi="Tahoma" w:cs="Tahoma"/>
          <w:b/>
          <w:sz w:val="21"/>
          <w:szCs w:val="21"/>
        </w:rPr>
        <w:t xml:space="preserve">LA SALA RESUELVE: </w:t>
      </w:r>
    </w:p>
    <w:p w:rsidR="006F3F00" w:rsidRPr="00CC31AC" w:rsidRDefault="006F3F00" w:rsidP="006F3F00">
      <w:pPr>
        <w:jc w:val="both"/>
        <w:rPr>
          <w:rFonts w:ascii="Tahoma" w:hAnsi="Tahoma" w:cs="Tahoma"/>
          <w:snapToGrid w:val="0"/>
          <w:sz w:val="21"/>
          <w:szCs w:val="21"/>
        </w:rPr>
      </w:pPr>
    </w:p>
    <w:p w:rsidR="001E3FAE" w:rsidRPr="00CC31AC" w:rsidRDefault="001E3FAE" w:rsidP="001E3FAE">
      <w:pPr>
        <w:pStyle w:val="HTMLconformatoprevio"/>
        <w:numPr>
          <w:ilvl w:val="0"/>
          <w:numId w:val="8"/>
        </w:numPr>
        <w:ind w:left="540" w:hanging="540"/>
        <w:jc w:val="both"/>
        <w:rPr>
          <w:rFonts w:ascii="Tahoma" w:hAnsi="Tahoma" w:cs="Tahoma"/>
          <w:color w:val="auto"/>
          <w:sz w:val="21"/>
          <w:szCs w:val="21"/>
        </w:rPr>
      </w:pPr>
      <w:r w:rsidRPr="00CC31AC">
        <w:rPr>
          <w:rFonts w:ascii="Tahoma" w:hAnsi="Tahoma" w:cs="Tahoma"/>
          <w:color w:val="auto"/>
          <w:sz w:val="21"/>
          <w:szCs w:val="21"/>
        </w:rPr>
        <w:t xml:space="preserve">Imponer a la empresa LOGISTICA Y ADQUISICIONES E.I.R.L. sanción administrativa de inhabilitación definitiva en sus derechos de participar en procesos de selección y contratar con el Estado, la cual entrará en vigencia a partir del sexto día hábil siguiente de notificada la presente Resolución. </w:t>
      </w:r>
    </w:p>
    <w:p w:rsidR="001E3FAE" w:rsidRPr="00CC31AC" w:rsidRDefault="001E3FAE" w:rsidP="001E3FAE">
      <w:pPr>
        <w:pStyle w:val="HTMLconformatoprevio"/>
        <w:jc w:val="both"/>
        <w:rPr>
          <w:rFonts w:ascii="Tahoma" w:hAnsi="Tahoma" w:cs="Tahoma"/>
          <w:color w:val="auto"/>
          <w:sz w:val="21"/>
          <w:szCs w:val="21"/>
        </w:rPr>
      </w:pPr>
    </w:p>
    <w:p w:rsidR="001E3FAE" w:rsidRPr="00CC31AC" w:rsidRDefault="001E3FAE" w:rsidP="001E3FAE">
      <w:pPr>
        <w:pStyle w:val="HTMLconformatoprevio"/>
        <w:numPr>
          <w:ilvl w:val="0"/>
          <w:numId w:val="8"/>
        </w:numPr>
        <w:ind w:left="540" w:hanging="540"/>
        <w:jc w:val="both"/>
        <w:rPr>
          <w:rFonts w:ascii="Tahoma" w:hAnsi="Tahoma" w:cs="Tahoma"/>
          <w:color w:val="auto"/>
          <w:sz w:val="21"/>
          <w:szCs w:val="21"/>
        </w:rPr>
      </w:pPr>
      <w:r w:rsidRPr="00CC31AC">
        <w:rPr>
          <w:rFonts w:ascii="Tahoma" w:hAnsi="Tahoma" w:cs="Tahoma"/>
          <w:color w:val="auto"/>
          <w:sz w:val="21"/>
          <w:szCs w:val="21"/>
          <w:lang w:val="es-ES_tradnl"/>
        </w:rPr>
        <w:t>Poner la presente Resolución en conocimiento de la Subdirección del Registro Nacional de Proveedores del Organismo Supervisor de las Contrataciones del Estado (OSCE), para las anotaciones de Ley</w:t>
      </w:r>
      <w:r w:rsidRPr="00CC31AC">
        <w:rPr>
          <w:rFonts w:ascii="Tahoma" w:hAnsi="Tahoma" w:cs="Tahoma"/>
          <w:color w:val="auto"/>
          <w:sz w:val="21"/>
          <w:szCs w:val="21"/>
        </w:rPr>
        <w:t xml:space="preserve">. </w:t>
      </w:r>
    </w:p>
    <w:p w:rsidR="006F3F00" w:rsidRPr="00CC31AC" w:rsidRDefault="006F3F00" w:rsidP="006F3F00">
      <w:pPr>
        <w:tabs>
          <w:tab w:val="left" w:pos="180"/>
          <w:tab w:val="left" w:pos="540"/>
        </w:tabs>
        <w:jc w:val="both"/>
        <w:rPr>
          <w:rFonts w:ascii="Tahoma" w:hAnsi="Tahoma" w:cs="Tahoma"/>
          <w:sz w:val="21"/>
          <w:szCs w:val="21"/>
        </w:rPr>
      </w:pPr>
    </w:p>
    <w:p w:rsidR="006F3F00" w:rsidRPr="00CC31AC" w:rsidRDefault="006F3F00" w:rsidP="006F3F00">
      <w:pPr>
        <w:pStyle w:val="Textoindependiente21"/>
        <w:ind w:firstLine="567"/>
        <w:rPr>
          <w:rFonts w:cs="Tahoma"/>
          <w:sz w:val="21"/>
          <w:szCs w:val="21"/>
        </w:rPr>
      </w:pPr>
      <w:r w:rsidRPr="00CC31AC">
        <w:rPr>
          <w:rFonts w:cs="Tahoma"/>
          <w:sz w:val="21"/>
          <w:szCs w:val="21"/>
        </w:rPr>
        <w:t>Regístrese, comuníquese y publíquese.</w:t>
      </w:r>
    </w:p>
    <w:p w:rsidR="006F3F00" w:rsidRPr="00CC31AC" w:rsidRDefault="006F3F00" w:rsidP="006F3F00">
      <w:pPr>
        <w:jc w:val="center"/>
        <w:rPr>
          <w:rFonts w:ascii="Tahoma" w:hAnsi="Tahoma" w:cs="Tahoma"/>
          <w:b/>
          <w:sz w:val="21"/>
          <w:szCs w:val="21"/>
        </w:rPr>
      </w:pPr>
    </w:p>
    <w:p w:rsidR="006F3F00" w:rsidRPr="00CC31AC" w:rsidRDefault="006F3F00" w:rsidP="006F3F00">
      <w:pPr>
        <w:jc w:val="center"/>
        <w:rPr>
          <w:rFonts w:ascii="Tahoma" w:hAnsi="Tahoma" w:cs="Tahoma"/>
          <w:b/>
          <w:sz w:val="21"/>
          <w:szCs w:val="21"/>
        </w:rPr>
      </w:pPr>
    </w:p>
    <w:p w:rsidR="006F3F00" w:rsidRPr="00CC31AC" w:rsidRDefault="006F3F00" w:rsidP="006F3F00">
      <w:pPr>
        <w:jc w:val="center"/>
        <w:rPr>
          <w:rFonts w:ascii="Tahoma" w:hAnsi="Tahoma" w:cs="Tahoma"/>
          <w:b/>
          <w:sz w:val="21"/>
          <w:szCs w:val="21"/>
        </w:rPr>
      </w:pPr>
    </w:p>
    <w:p w:rsidR="006F3F00" w:rsidRPr="00CC31AC" w:rsidRDefault="006F3F00" w:rsidP="006F3F00">
      <w:pPr>
        <w:jc w:val="center"/>
        <w:rPr>
          <w:rFonts w:ascii="Tahoma" w:hAnsi="Tahoma" w:cs="Tahoma"/>
          <w:b/>
          <w:sz w:val="21"/>
          <w:szCs w:val="21"/>
        </w:rPr>
      </w:pPr>
    </w:p>
    <w:p w:rsidR="006F3F00" w:rsidRPr="00CC31AC" w:rsidRDefault="006F3F00" w:rsidP="006F3F00">
      <w:pPr>
        <w:jc w:val="center"/>
        <w:rPr>
          <w:rFonts w:ascii="Tahoma" w:hAnsi="Tahoma" w:cs="Tahoma"/>
          <w:b/>
          <w:sz w:val="21"/>
          <w:szCs w:val="21"/>
        </w:rPr>
      </w:pPr>
    </w:p>
    <w:p w:rsidR="006F3F00" w:rsidRPr="00CC31AC" w:rsidRDefault="006F3F00" w:rsidP="006F3F00">
      <w:pPr>
        <w:jc w:val="center"/>
        <w:rPr>
          <w:rFonts w:ascii="Tahoma" w:hAnsi="Tahoma" w:cs="Tahoma"/>
          <w:b/>
          <w:sz w:val="21"/>
          <w:szCs w:val="21"/>
        </w:rPr>
      </w:pPr>
    </w:p>
    <w:p w:rsidR="006F3F00" w:rsidRPr="00CC31AC" w:rsidRDefault="006F3F00" w:rsidP="006F3F00">
      <w:pPr>
        <w:jc w:val="center"/>
        <w:rPr>
          <w:rFonts w:ascii="Tahoma" w:hAnsi="Tahoma" w:cs="Tahoma"/>
          <w:b/>
          <w:sz w:val="21"/>
          <w:szCs w:val="21"/>
        </w:rPr>
      </w:pPr>
    </w:p>
    <w:p w:rsidR="006F3F00" w:rsidRPr="00CC31AC" w:rsidRDefault="006F3F00" w:rsidP="006F3F00">
      <w:pPr>
        <w:rPr>
          <w:rFonts w:ascii="Tahoma" w:hAnsi="Tahoma" w:cs="Tahoma"/>
          <w:b/>
          <w:sz w:val="21"/>
          <w:szCs w:val="21"/>
        </w:rPr>
      </w:pPr>
    </w:p>
    <w:p w:rsidR="006F3F00" w:rsidRPr="00CC31AC" w:rsidRDefault="006F3F00" w:rsidP="006F3F00">
      <w:pPr>
        <w:jc w:val="center"/>
        <w:rPr>
          <w:rFonts w:ascii="Tahoma" w:hAnsi="Tahoma" w:cs="Tahoma"/>
          <w:b/>
          <w:sz w:val="21"/>
          <w:szCs w:val="21"/>
        </w:rPr>
      </w:pPr>
    </w:p>
    <w:p w:rsidR="006F3F00" w:rsidRPr="00CC31AC" w:rsidRDefault="006F3F00" w:rsidP="006F3F00">
      <w:pPr>
        <w:jc w:val="center"/>
        <w:rPr>
          <w:rFonts w:ascii="Tahoma" w:hAnsi="Tahoma" w:cs="Tahoma"/>
          <w:b/>
          <w:shadow/>
          <w:sz w:val="21"/>
          <w:szCs w:val="21"/>
          <w:lang w:val="pt-BR"/>
        </w:rPr>
      </w:pPr>
      <w:r w:rsidRPr="00CC31AC">
        <w:rPr>
          <w:rFonts w:ascii="Tahoma" w:hAnsi="Tahoma" w:cs="Tahoma"/>
          <w:b/>
          <w:shadow/>
          <w:sz w:val="21"/>
          <w:szCs w:val="21"/>
          <w:lang w:val="pt-BR"/>
        </w:rPr>
        <w:t>PRESIDENTE</w:t>
      </w:r>
    </w:p>
    <w:p w:rsidR="006F3F00" w:rsidRPr="00CC31AC" w:rsidRDefault="006F3F00" w:rsidP="006F3F00">
      <w:pPr>
        <w:ind w:firstLine="708"/>
        <w:rPr>
          <w:rFonts w:ascii="Tahoma" w:hAnsi="Tahoma" w:cs="Tahoma"/>
          <w:b/>
          <w:shadow/>
          <w:sz w:val="21"/>
          <w:szCs w:val="21"/>
          <w:lang w:val="pt-BR"/>
        </w:rPr>
      </w:pPr>
    </w:p>
    <w:p w:rsidR="006F3F00" w:rsidRPr="00CC31AC" w:rsidRDefault="006F3F00" w:rsidP="006F3F00">
      <w:pPr>
        <w:ind w:firstLine="708"/>
        <w:rPr>
          <w:rFonts w:ascii="Tahoma" w:hAnsi="Tahoma" w:cs="Tahoma"/>
          <w:b/>
          <w:shadow/>
          <w:sz w:val="21"/>
          <w:szCs w:val="21"/>
          <w:lang w:val="pt-BR"/>
        </w:rPr>
      </w:pPr>
      <w:r w:rsidRPr="00CC31AC">
        <w:rPr>
          <w:rFonts w:ascii="Tahoma" w:hAnsi="Tahoma" w:cs="Tahoma"/>
          <w:b/>
          <w:shadow/>
          <w:sz w:val="21"/>
          <w:szCs w:val="21"/>
          <w:lang w:val="pt-BR"/>
        </w:rPr>
        <w:t xml:space="preserve">VOCAL           </w:t>
      </w:r>
      <w:r w:rsidRPr="00CC31AC">
        <w:rPr>
          <w:rFonts w:ascii="Tahoma" w:hAnsi="Tahoma" w:cs="Tahoma"/>
          <w:b/>
          <w:shadow/>
          <w:sz w:val="21"/>
          <w:szCs w:val="21"/>
          <w:lang w:val="pt-BR"/>
        </w:rPr>
        <w:tab/>
      </w:r>
      <w:r w:rsidRPr="00CC31AC">
        <w:rPr>
          <w:rFonts w:ascii="Tahoma" w:hAnsi="Tahoma" w:cs="Tahoma"/>
          <w:b/>
          <w:shadow/>
          <w:sz w:val="21"/>
          <w:szCs w:val="21"/>
          <w:lang w:val="pt-BR"/>
        </w:rPr>
        <w:tab/>
        <w:t xml:space="preserve">                                                                 VOCAL</w:t>
      </w:r>
    </w:p>
    <w:p w:rsidR="006F3F00" w:rsidRPr="00CC31AC" w:rsidRDefault="006F3F00" w:rsidP="006F3F00">
      <w:pPr>
        <w:rPr>
          <w:rFonts w:ascii="Tahoma" w:hAnsi="Tahoma" w:cs="Tahoma"/>
          <w:sz w:val="21"/>
          <w:szCs w:val="21"/>
          <w:lang w:val="pt-BR"/>
        </w:rPr>
      </w:pPr>
    </w:p>
    <w:p w:rsidR="006F3F00" w:rsidRPr="00CC31AC" w:rsidRDefault="006F3F00" w:rsidP="006F3F00">
      <w:pPr>
        <w:rPr>
          <w:rFonts w:ascii="Tahoma" w:hAnsi="Tahoma" w:cs="Tahoma"/>
          <w:sz w:val="21"/>
          <w:szCs w:val="21"/>
          <w:lang w:val="pt-BR"/>
        </w:rPr>
      </w:pPr>
    </w:p>
    <w:p w:rsidR="006F3F00" w:rsidRPr="00CC31AC" w:rsidRDefault="006F3F00" w:rsidP="006F3F00">
      <w:pPr>
        <w:jc w:val="both"/>
        <w:rPr>
          <w:rFonts w:ascii="Tahoma" w:hAnsi="Tahoma" w:cs="Tahoma"/>
          <w:sz w:val="21"/>
          <w:szCs w:val="21"/>
          <w:lang w:val="pt-BR"/>
        </w:rPr>
      </w:pPr>
      <w:r w:rsidRPr="00CC31AC">
        <w:rPr>
          <w:rFonts w:ascii="Tahoma" w:hAnsi="Tahoma" w:cs="Tahoma"/>
          <w:sz w:val="21"/>
          <w:szCs w:val="21"/>
          <w:lang w:val="pt-BR"/>
        </w:rPr>
        <w:t>ss.</w:t>
      </w:r>
    </w:p>
    <w:p w:rsidR="006F3F00" w:rsidRPr="00CC31AC" w:rsidRDefault="006F3F00" w:rsidP="006F3F00">
      <w:pPr>
        <w:pStyle w:val="Textoindependiente21"/>
        <w:tabs>
          <w:tab w:val="left" w:pos="5250"/>
        </w:tabs>
        <w:rPr>
          <w:rFonts w:cs="Tahoma"/>
          <w:sz w:val="21"/>
          <w:szCs w:val="21"/>
          <w:lang w:val="pt-BR"/>
        </w:rPr>
      </w:pPr>
      <w:r w:rsidRPr="00CC31AC">
        <w:rPr>
          <w:rFonts w:cs="Tahoma"/>
          <w:sz w:val="21"/>
          <w:szCs w:val="21"/>
          <w:lang w:val="pt-BR"/>
        </w:rPr>
        <w:t>Navas Rondón.</w:t>
      </w:r>
    </w:p>
    <w:p w:rsidR="006F3F00" w:rsidRPr="00CC31AC" w:rsidRDefault="006F3F00" w:rsidP="006F3F00">
      <w:pPr>
        <w:pStyle w:val="Textoindependiente21"/>
        <w:tabs>
          <w:tab w:val="left" w:pos="5250"/>
        </w:tabs>
        <w:rPr>
          <w:rFonts w:cs="Tahoma"/>
          <w:sz w:val="21"/>
          <w:szCs w:val="21"/>
          <w:lang w:val="pt-BR"/>
        </w:rPr>
      </w:pPr>
      <w:r w:rsidRPr="00CC31AC">
        <w:rPr>
          <w:rFonts w:cs="Tahoma"/>
          <w:sz w:val="21"/>
          <w:szCs w:val="21"/>
        </w:rPr>
        <w:t>Ramírez Maynetto.</w:t>
      </w:r>
    </w:p>
    <w:p w:rsidR="006F3F00" w:rsidRPr="00CC31AC" w:rsidRDefault="006F3F00" w:rsidP="006F3F00">
      <w:pPr>
        <w:pStyle w:val="Textoindependiente21"/>
        <w:tabs>
          <w:tab w:val="left" w:pos="5250"/>
        </w:tabs>
        <w:rPr>
          <w:rFonts w:cs="Tahoma"/>
          <w:sz w:val="21"/>
          <w:szCs w:val="21"/>
          <w:lang w:val="pt-BR"/>
        </w:rPr>
      </w:pPr>
      <w:r w:rsidRPr="00CC31AC">
        <w:rPr>
          <w:rFonts w:cs="Tahoma"/>
          <w:sz w:val="21"/>
          <w:szCs w:val="21"/>
          <w:lang w:val="pt-BR"/>
        </w:rPr>
        <w:t>Basulto Liewald.</w:t>
      </w:r>
    </w:p>
    <w:p w:rsidR="006F3F00" w:rsidRPr="00CC31AC" w:rsidRDefault="006F3F00" w:rsidP="006F3F00">
      <w:pPr>
        <w:rPr>
          <w:rFonts w:ascii="Tahoma" w:hAnsi="Tahoma" w:cs="Tahoma"/>
          <w:sz w:val="21"/>
          <w:szCs w:val="21"/>
        </w:rPr>
      </w:pPr>
    </w:p>
    <w:p w:rsidR="006F3F00" w:rsidRPr="00CC31AC" w:rsidRDefault="006F3F00" w:rsidP="006F3F00">
      <w:pPr>
        <w:rPr>
          <w:rFonts w:ascii="Tahoma" w:hAnsi="Tahoma" w:cs="Tahoma"/>
          <w:sz w:val="21"/>
          <w:szCs w:val="21"/>
        </w:rPr>
      </w:pPr>
    </w:p>
    <w:p w:rsidR="006F3F00" w:rsidRPr="00CC31AC" w:rsidRDefault="006F3F00" w:rsidP="006F3F00">
      <w:pPr>
        <w:rPr>
          <w:rFonts w:ascii="Tahoma" w:hAnsi="Tahoma" w:cs="Tahoma"/>
          <w:sz w:val="21"/>
          <w:szCs w:val="21"/>
        </w:rPr>
      </w:pPr>
    </w:p>
    <w:p w:rsidR="001D5C36" w:rsidRPr="00CC31AC" w:rsidRDefault="00C4286B">
      <w:pPr>
        <w:rPr>
          <w:rFonts w:ascii="Tahoma" w:hAnsi="Tahoma" w:cs="Tahoma"/>
          <w:sz w:val="21"/>
          <w:szCs w:val="21"/>
        </w:rPr>
      </w:pPr>
    </w:p>
    <w:sectPr w:rsidR="001D5C36" w:rsidRPr="00CC31AC" w:rsidSect="00B96798">
      <w:headerReference w:type="default" r:id="rId7"/>
      <w:footerReference w:type="default" r:id="rId8"/>
      <w:pgSz w:w="11906" w:h="16838"/>
      <w:pgMar w:top="3402" w:right="1701" w:bottom="1135"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4286B" w:rsidRDefault="00C4286B" w:rsidP="006F3F00">
      <w:r>
        <w:separator/>
      </w:r>
    </w:p>
  </w:endnote>
  <w:endnote w:type="continuationSeparator" w:id="1">
    <w:p w:rsidR="00C4286B" w:rsidRDefault="00C4286B" w:rsidP="006F3F0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Times">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674763"/>
      <w:docPartObj>
        <w:docPartGallery w:val="Page Numbers (Bottom of Page)"/>
        <w:docPartUnique/>
      </w:docPartObj>
    </w:sdtPr>
    <w:sdtContent>
      <w:sdt>
        <w:sdtPr>
          <w:id w:val="216747541"/>
          <w:docPartObj>
            <w:docPartGallery w:val="Page Numbers (Top of Page)"/>
            <w:docPartUnique/>
          </w:docPartObj>
        </w:sdtPr>
        <w:sdtContent>
          <w:p w:rsidR="0035353E" w:rsidRDefault="00F6071A">
            <w:pPr>
              <w:pStyle w:val="Piedepgina"/>
              <w:jc w:val="center"/>
            </w:pPr>
            <w:r>
              <w:t xml:space="preserve">Página </w:t>
            </w:r>
            <w:r w:rsidR="005925B2">
              <w:rPr>
                <w:b/>
              </w:rPr>
              <w:fldChar w:fldCharType="begin"/>
            </w:r>
            <w:r>
              <w:rPr>
                <w:b/>
              </w:rPr>
              <w:instrText>PAGE</w:instrText>
            </w:r>
            <w:r w:rsidR="005925B2">
              <w:rPr>
                <w:b/>
              </w:rPr>
              <w:fldChar w:fldCharType="separate"/>
            </w:r>
            <w:r w:rsidR="00AC45D3">
              <w:rPr>
                <w:b/>
                <w:noProof/>
              </w:rPr>
              <w:t>1</w:t>
            </w:r>
            <w:r w:rsidR="005925B2">
              <w:rPr>
                <w:b/>
              </w:rPr>
              <w:fldChar w:fldCharType="end"/>
            </w:r>
            <w:r>
              <w:t xml:space="preserve"> de </w:t>
            </w:r>
            <w:r w:rsidR="005925B2">
              <w:rPr>
                <w:b/>
              </w:rPr>
              <w:fldChar w:fldCharType="begin"/>
            </w:r>
            <w:r>
              <w:rPr>
                <w:b/>
              </w:rPr>
              <w:instrText>NUMPAGES</w:instrText>
            </w:r>
            <w:r w:rsidR="005925B2">
              <w:rPr>
                <w:b/>
              </w:rPr>
              <w:fldChar w:fldCharType="separate"/>
            </w:r>
            <w:r w:rsidR="00AC45D3">
              <w:rPr>
                <w:b/>
                <w:noProof/>
              </w:rPr>
              <w:t>7</w:t>
            </w:r>
            <w:r w:rsidR="005925B2">
              <w:rPr>
                <w:b/>
              </w:rPr>
              <w:fldChar w:fldCharType="end"/>
            </w:r>
          </w:p>
        </w:sdtContent>
      </w:sdt>
    </w:sdtContent>
  </w:sdt>
  <w:p w:rsidR="0035353E" w:rsidRDefault="00C4286B">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4286B" w:rsidRDefault="00C4286B" w:rsidP="006F3F00">
      <w:r>
        <w:separator/>
      </w:r>
    </w:p>
  </w:footnote>
  <w:footnote w:type="continuationSeparator" w:id="1">
    <w:p w:rsidR="00C4286B" w:rsidRDefault="00C4286B" w:rsidP="006F3F00">
      <w:r>
        <w:continuationSeparator/>
      </w:r>
    </w:p>
  </w:footnote>
  <w:footnote w:id="2">
    <w:p w:rsidR="00CC31AC" w:rsidRPr="00DA7A47" w:rsidRDefault="00CC31AC" w:rsidP="00CC31AC">
      <w:pPr>
        <w:pStyle w:val="Sinespaciado"/>
        <w:ind w:left="709"/>
        <w:jc w:val="both"/>
        <w:rPr>
          <w:rFonts w:ascii="Tahoma" w:hAnsi="Tahoma" w:cs="Tahoma"/>
          <w:b/>
          <w:i/>
          <w:sz w:val="18"/>
          <w:szCs w:val="18"/>
          <w:lang w:val="es-ES_tradnl"/>
        </w:rPr>
      </w:pPr>
      <w:r w:rsidRPr="0024276C">
        <w:rPr>
          <w:rStyle w:val="Refdenotaalpie"/>
          <w:rFonts w:ascii="Tahoma" w:hAnsi="Tahoma" w:cs="Tahoma"/>
          <w:sz w:val="18"/>
          <w:szCs w:val="18"/>
        </w:rPr>
        <w:footnoteRef/>
      </w:r>
      <w:r w:rsidRPr="0024276C">
        <w:rPr>
          <w:rFonts w:ascii="Tahoma" w:hAnsi="Tahoma" w:cs="Tahoma"/>
          <w:sz w:val="18"/>
          <w:szCs w:val="18"/>
        </w:rPr>
        <w:t xml:space="preserve"> </w:t>
      </w:r>
      <w:r w:rsidRPr="00DA7A47">
        <w:rPr>
          <w:rFonts w:ascii="Tahoma" w:hAnsi="Tahoma" w:cs="Tahoma"/>
          <w:b/>
          <w:i/>
          <w:sz w:val="18"/>
          <w:szCs w:val="18"/>
          <w:lang w:val="es-ES_tradnl"/>
        </w:rPr>
        <w:t xml:space="preserve">Artículo 294.- Causales de aplicación de sanción a los proveedores, participantes, postores y contratistas. </w:t>
      </w:r>
    </w:p>
    <w:p w:rsidR="00CC31AC" w:rsidRPr="00DA7A47" w:rsidRDefault="00CC31AC" w:rsidP="00CC31AC">
      <w:pPr>
        <w:pStyle w:val="Sinespaciado"/>
        <w:ind w:left="709"/>
        <w:jc w:val="both"/>
        <w:rPr>
          <w:rFonts w:ascii="Tahoma" w:hAnsi="Tahoma" w:cs="Tahoma"/>
          <w:i/>
          <w:sz w:val="18"/>
          <w:szCs w:val="18"/>
          <w:lang w:val="es-ES_tradnl"/>
        </w:rPr>
      </w:pPr>
      <w:r w:rsidRPr="00DA7A47">
        <w:rPr>
          <w:rFonts w:ascii="Tahoma" w:hAnsi="Tahoma" w:cs="Tahoma"/>
          <w:i/>
          <w:sz w:val="18"/>
          <w:szCs w:val="18"/>
          <w:lang w:val="es-ES_tradnl"/>
        </w:rPr>
        <w:t>El Tribunal impondrá la sanción administrativa de inhabilitación temporal o definitiva a los proveedores, participantes, postores y/o contratistas que:</w:t>
      </w:r>
    </w:p>
    <w:p w:rsidR="00CC31AC" w:rsidRPr="00DA7A47" w:rsidRDefault="00CC31AC" w:rsidP="00CC31AC">
      <w:pPr>
        <w:pStyle w:val="Sinespaciado"/>
        <w:ind w:left="709"/>
        <w:jc w:val="both"/>
        <w:rPr>
          <w:rFonts w:ascii="Tahoma" w:hAnsi="Tahoma" w:cs="Tahoma"/>
          <w:i/>
          <w:sz w:val="18"/>
          <w:szCs w:val="18"/>
          <w:lang w:val="es-ES_tradnl"/>
        </w:rPr>
      </w:pPr>
      <w:r w:rsidRPr="00DA7A47">
        <w:rPr>
          <w:rFonts w:ascii="Tahoma" w:hAnsi="Tahoma" w:cs="Tahoma"/>
          <w:i/>
          <w:sz w:val="18"/>
          <w:szCs w:val="18"/>
          <w:lang w:val="es-ES_tradnl"/>
        </w:rPr>
        <w:t>[…]</w:t>
      </w:r>
    </w:p>
    <w:p w:rsidR="00CC31AC" w:rsidRPr="00DA7A47" w:rsidRDefault="00CC31AC" w:rsidP="00CC31AC">
      <w:pPr>
        <w:pStyle w:val="Sinespaciado"/>
        <w:ind w:left="709"/>
        <w:jc w:val="both"/>
        <w:rPr>
          <w:rFonts w:ascii="Tahoma" w:hAnsi="Tahoma" w:cs="Tahoma"/>
          <w:i/>
          <w:sz w:val="18"/>
          <w:szCs w:val="18"/>
          <w:lang w:val="es-ES_tradnl"/>
        </w:rPr>
      </w:pPr>
      <w:r w:rsidRPr="00DA7A47">
        <w:rPr>
          <w:rFonts w:ascii="Tahoma" w:hAnsi="Tahoma" w:cs="Tahoma"/>
          <w:i/>
          <w:sz w:val="18"/>
          <w:szCs w:val="18"/>
          <w:lang w:val="es-ES_tradnl"/>
        </w:rPr>
        <w:t>2) Den lugar a la resolución del contrato, orden de compra o de servicios por causal atribuible a su parte.</w:t>
      </w:r>
    </w:p>
  </w:footnote>
  <w:footnote w:id="3">
    <w:p w:rsidR="00CC31AC" w:rsidRPr="00DA7A47" w:rsidRDefault="00CC31AC" w:rsidP="00CC31AC">
      <w:pPr>
        <w:pStyle w:val="Sinespaciado"/>
        <w:ind w:left="709"/>
        <w:jc w:val="both"/>
        <w:rPr>
          <w:rFonts w:ascii="Tahoma" w:hAnsi="Tahoma" w:cs="Tahoma"/>
          <w:b/>
          <w:i/>
          <w:sz w:val="18"/>
          <w:szCs w:val="18"/>
        </w:rPr>
      </w:pPr>
      <w:r w:rsidRPr="00DA7A47">
        <w:rPr>
          <w:rStyle w:val="Refdenotaalpie"/>
          <w:rFonts w:ascii="Tahoma" w:hAnsi="Tahoma" w:cs="Tahoma"/>
          <w:i/>
          <w:sz w:val="18"/>
          <w:szCs w:val="18"/>
        </w:rPr>
        <w:footnoteRef/>
      </w:r>
      <w:r w:rsidRPr="00DA7A47">
        <w:rPr>
          <w:rFonts w:ascii="Tahoma" w:hAnsi="Tahoma" w:cs="Tahoma"/>
          <w:i/>
          <w:sz w:val="18"/>
          <w:szCs w:val="18"/>
        </w:rPr>
        <w:t xml:space="preserve"> </w:t>
      </w:r>
      <w:r w:rsidRPr="00DA7A47">
        <w:rPr>
          <w:rFonts w:ascii="Tahoma" w:hAnsi="Tahoma" w:cs="Tahoma"/>
          <w:b/>
          <w:i/>
          <w:sz w:val="18"/>
          <w:szCs w:val="18"/>
        </w:rPr>
        <w:t>Artículo 225.- Causales de resolución.</w:t>
      </w:r>
    </w:p>
    <w:p w:rsidR="00CC31AC" w:rsidRPr="00DA7A47" w:rsidRDefault="00CC31AC" w:rsidP="00CC31AC">
      <w:pPr>
        <w:pStyle w:val="Sinespaciado"/>
        <w:ind w:left="709"/>
        <w:jc w:val="both"/>
        <w:rPr>
          <w:rFonts w:ascii="Tahoma" w:hAnsi="Tahoma" w:cs="Tahoma"/>
          <w:i/>
          <w:sz w:val="18"/>
          <w:szCs w:val="18"/>
        </w:rPr>
      </w:pPr>
      <w:r w:rsidRPr="00DA7A47">
        <w:rPr>
          <w:rFonts w:ascii="Tahoma" w:hAnsi="Tahoma" w:cs="Tahoma"/>
          <w:i/>
          <w:sz w:val="18"/>
          <w:szCs w:val="18"/>
        </w:rPr>
        <w:t>La Entidad podrá resolver el contrato, de conformidad con el inciso c) del Artículo 41 de la Ley, en los casos en que el contratista:</w:t>
      </w:r>
    </w:p>
    <w:p w:rsidR="00CC31AC" w:rsidRPr="00DA7A47" w:rsidRDefault="00CC31AC" w:rsidP="00CC31AC">
      <w:pPr>
        <w:pStyle w:val="Sinespaciado"/>
        <w:ind w:left="709"/>
        <w:jc w:val="both"/>
        <w:rPr>
          <w:rFonts w:ascii="Tahoma" w:hAnsi="Tahoma" w:cs="Tahoma"/>
          <w:i/>
          <w:sz w:val="18"/>
          <w:szCs w:val="18"/>
        </w:rPr>
      </w:pPr>
      <w:r w:rsidRPr="00DA7A47">
        <w:rPr>
          <w:rFonts w:ascii="Tahoma" w:hAnsi="Tahoma" w:cs="Tahoma"/>
          <w:i/>
          <w:sz w:val="18"/>
          <w:szCs w:val="18"/>
        </w:rPr>
        <w:t>1) Incumpla injustificadamente obligaciones contractuales, legales o reglamentarias a su cargo, pese a haber sido requerido para ello […].</w:t>
      </w:r>
    </w:p>
    <w:p w:rsidR="00CC31AC" w:rsidRPr="00DA7A47" w:rsidRDefault="00CC31AC" w:rsidP="00CC31AC">
      <w:pPr>
        <w:pStyle w:val="Sinespaciado"/>
        <w:ind w:left="709"/>
        <w:jc w:val="both"/>
        <w:rPr>
          <w:rFonts w:ascii="Tahoma" w:hAnsi="Tahoma" w:cs="Tahoma"/>
          <w:i/>
          <w:sz w:val="18"/>
          <w:szCs w:val="18"/>
        </w:rPr>
      </w:pPr>
    </w:p>
  </w:footnote>
  <w:footnote w:id="4">
    <w:p w:rsidR="00CC31AC" w:rsidRPr="00DA7A47" w:rsidRDefault="00CC31AC" w:rsidP="00CC31AC">
      <w:pPr>
        <w:pStyle w:val="Sinespaciado"/>
        <w:ind w:left="709"/>
        <w:jc w:val="both"/>
        <w:rPr>
          <w:rFonts w:ascii="Tahoma" w:hAnsi="Tahoma" w:cs="Tahoma"/>
          <w:b/>
          <w:i/>
          <w:sz w:val="18"/>
          <w:szCs w:val="18"/>
        </w:rPr>
      </w:pPr>
      <w:r w:rsidRPr="00DA7A47">
        <w:rPr>
          <w:rStyle w:val="Refdenotaalpie"/>
          <w:rFonts w:ascii="Tahoma" w:hAnsi="Tahoma" w:cs="Tahoma"/>
          <w:i/>
          <w:sz w:val="18"/>
          <w:szCs w:val="18"/>
        </w:rPr>
        <w:footnoteRef/>
      </w:r>
      <w:r w:rsidRPr="00DA7A47">
        <w:rPr>
          <w:rFonts w:ascii="Tahoma" w:hAnsi="Tahoma" w:cs="Tahoma"/>
          <w:i/>
          <w:sz w:val="18"/>
          <w:szCs w:val="18"/>
        </w:rPr>
        <w:t xml:space="preserve"> </w:t>
      </w:r>
      <w:r w:rsidRPr="00DA7A47">
        <w:rPr>
          <w:rFonts w:ascii="Tahoma" w:hAnsi="Tahoma" w:cs="Tahoma"/>
          <w:b/>
          <w:i/>
          <w:sz w:val="18"/>
          <w:szCs w:val="18"/>
        </w:rPr>
        <w:t>Artículo 226.- Procedimiento de resolución de contrato.</w:t>
      </w:r>
    </w:p>
    <w:p w:rsidR="00CC31AC" w:rsidRPr="00DA7A47" w:rsidRDefault="00CC31AC" w:rsidP="00CC31AC">
      <w:pPr>
        <w:pStyle w:val="Sinespaciado"/>
        <w:ind w:left="709"/>
        <w:jc w:val="both"/>
        <w:rPr>
          <w:rFonts w:ascii="Tahoma" w:hAnsi="Tahoma" w:cs="Tahoma"/>
          <w:i/>
          <w:sz w:val="18"/>
          <w:szCs w:val="18"/>
        </w:rPr>
      </w:pPr>
      <w:r w:rsidRPr="00DA7A47">
        <w:rPr>
          <w:rFonts w:ascii="Tahoma" w:hAnsi="Tahoma" w:cs="Tahoma"/>
          <w:i/>
          <w:sz w:val="18"/>
          <w:szCs w:val="18"/>
        </w:rPr>
        <w:t>“Si alguna de las partes falta al cumplimiento de sus obligaciones, la parte perjudicada deberá requerirla mediante carta notarial para que las satisfaga en un plazo no mayor a cinco (5) días, bajo apercibimiento de resolver el contrato.</w:t>
      </w:r>
    </w:p>
    <w:p w:rsidR="00CC31AC" w:rsidRPr="00DA7A47" w:rsidRDefault="00CC31AC" w:rsidP="00CC31AC">
      <w:pPr>
        <w:pStyle w:val="Sinespaciado"/>
        <w:ind w:left="709"/>
        <w:jc w:val="both"/>
        <w:rPr>
          <w:rFonts w:ascii="Tahoma" w:hAnsi="Tahoma" w:cs="Tahoma"/>
          <w:i/>
          <w:sz w:val="18"/>
          <w:szCs w:val="18"/>
        </w:rPr>
      </w:pPr>
      <w:r w:rsidRPr="00DA7A47">
        <w:rPr>
          <w:rFonts w:ascii="Tahoma" w:hAnsi="Tahoma" w:cs="Tahoma"/>
          <w:i/>
          <w:sz w:val="18"/>
          <w:szCs w:val="18"/>
        </w:rPr>
        <w:t>Dependiendo del monto contractual y de la complejidad, envergadura o sofisticación de la adquisición o contratación, la Entidad puede establecer plazos mayores, pero en ningún caso mayor a quince (15) días, plazo este último que se otorgará necesariamente en el caso de obras. Si vencido dicho plazo el incumplimiento continúa, la parte perjudicada resolverá el contrato en forma total o parcial, mediante carta notarial.</w:t>
      </w:r>
    </w:p>
    <w:p w:rsidR="00CC31AC" w:rsidRPr="00DA7A47" w:rsidRDefault="00CC31AC" w:rsidP="00CC31AC">
      <w:pPr>
        <w:pStyle w:val="Sinespaciado"/>
        <w:ind w:left="709"/>
        <w:jc w:val="both"/>
        <w:rPr>
          <w:rFonts w:ascii="Tahoma" w:hAnsi="Tahoma" w:cs="Tahoma"/>
          <w:i/>
          <w:sz w:val="18"/>
          <w:szCs w:val="18"/>
        </w:rPr>
      </w:pPr>
      <w:r w:rsidRPr="00DA7A47">
        <w:rPr>
          <w:rFonts w:ascii="Tahoma" w:hAnsi="Tahoma" w:cs="Tahoma"/>
          <w:i/>
          <w:sz w:val="18"/>
          <w:szCs w:val="18"/>
        </w:rPr>
        <w:t>(…)”.</w:t>
      </w:r>
    </w:p>
  </w:footnote>
  <w:footnote w:id="5">
    <w:p w:rsidR="00CC31AC" w:rsidRPr="00A6509F" w:rsidRDefault="00CC31AC" w:rsidP="00CC31AC">
      <w:pPr>
        <w:pStyle w:val="Textonotapie"/>
        <w:jc w:val="both"/>
        <w:rPr>
          <w:rFonts w:ascii="Tahoma" w:hAnsi="Tahoma" w:cs="Tahoma"/>
          <w:i/>
          <w:sz w:val="18"/>
          <w:szCs w:val="18"/>
        </w:rPr>
      </w:pPr>
      <w:r w:rsidRPr="00A6509F">
        <w:rPr>
          <w:rStyle w:val="Refdenotaalpie"/>
          <w:rFonts w:ascii="Tahoma" w:hAnsi="Tahoma" w:cs="Tahoma"/>
          <w:sz w:val="18"/>
          <w:szCs w:val="18"/>
        </w:rPr>
        <w:footnoteRef/>
      </w:r>
      <w:r w:rsidRPr="00A6509F">
        <w:rPr>
          <w:rFonts w:ascii="Tahoma" w:hAnsi="Tahoma" w:cs="Tahoma"/>
          <w:sz w:val="18"/>
          <w:szCs w:val="18"/>
        </w:rPr>
        <w:t xml:space="preserve"> </w:t>
      </w:r>
      <w:r w:rsidRPr="00A6509F">
        <w:rPr>
          <w:rFonts w:ascii="Tahoma" w:hAnsi="Tahoma" w:cs="Tahoma"/>
          <w:i/>
          <w:sz w:val="18"/>
          <w:szCs w:val="18"/>
        </w:rPr>
        <w:t xml:space="preserve">La anotada presunción legal se sustenta en el </w:t>
      </w:r>
      <w:r w:rsidRPr="00A6509F">
        <w:rPr>
          <w:rFonts w:ascii="Tahoma" w:hAnsi="Tahoma" w:cs="Tahoma"/>
          <w:i/>
          <w:sz w:val="18"/>
          <w:szCs w:val="18"/>
          <w:lang w:val="es-PE"/>
        </w:rPr>
        <w:t xml:space="preserve">artículo 1329 del Código Civil, el cual establece que “se presume que la inejecución de la obligación, o su cumplimiento parcial, tardío o defectuoso, obedece a culpa leve del deudor”, artículo aplicable al presente caso de conformidad con el </w:t>
      </w:r>
      <w:r w:rsidRPr="00A6509F">
        <w:rPr>
          <w:rFonts w:ascii="Tahoma" w:hAnsi="Tahoma" w:cs="Tahoma"/>
          <w:i/>
          <w:sz w:val="18"/>
          <w:szCs w:val="18"/>
        </w:rPr>
        <w:t>artículo IX, del Título Preliminar del mismo cuerpo normativo: “Las disposiciones del Código Civil se aplican supletoriamente a las relaciones y situaciones jurídicas reguladas por otras leyes, siempre que no sean incompatibles con su naturaleza”.</w:t>
      </w:r>
    </w:p>
    <w:p w:rsidR="00CC31AC" w:rsidRPr="00CD1E02" w:rsidRDefault="00CC31AC" w:rsidP="00CC31AC">
      <w:pPr>
        <w:pStyle w:val="Textonotapie"/>
        <w:ind w:left="180" w:hanging="180"/>
        <w:rPr>
          <w:rFonts w:ascii="Tahoma" w:hAnsi="Tahoma" w:cs="Tahoma"/>
          <w:sz w:val="16"/>
          <w:szCs w:val="16"/>
        </w:rPr>
      </w:pPr>
    </w:p>
  </w:footnote>
  <w:footnote w:id="6">
    <w:p w:rsidR="00CC31AC" w:rsidRPr="00910FD6" w:rsidRDefault="00CC31AC" w:rsidP="00CC31AC">
      <w:pPr>
        <w:pStyle w:val="Textonotapie"/>
        <w:rPr>
          <w:rFonts w:ascii="Tahoma" w:hAnsi="Tahoma" w:cs="Tahoma"/>
          <w:b/>
          <w:bCs/>
          <w:i/>
          <w:sz w:val="18"/>
          <w:szCs w:val="18"/>
        </w:rPr>
      </w:pPr>
      <w:r w:rsidRPr="00910FD6">
        <w:rPr>
          <w:rStyle w:val="Refdenotaalpie"/>
          <w:rFonts w:ascii="Tahoma" w:hAnsi="Tahoma" w:cs="Tahoma"/>
          <w:i/>
          <w:sz w:val="18"/>
          <w:szCs w:val="18"/>
        </w:rPr>
        <w:footnoteRef/>
      </w:r>
      <w:r w:rsidRPr="00910FD6">
        <w:rPr>
          <w:rFonts w:ascii="Tahoma" w:hAnsi="Tahoma" w:cs="Tahoma"/>
          <w:i/>
          <w:sz w:val="18"/>
          <w:szCs w:val="18"/>
        </w:rPr>
        <w:t xml:space="preserve"> </w:t>
      </w:r>
      <w:r w:rsidRPr="00910FD6">
        <w:rPr>
          <w:rFonts w:ascii="Tahoma" w:hAnsi="Tahoma" w:cs="Tahoma"/>
          <w:b/>
          <w:bCs/>
          <w:i/>
          <w:sz w:val="18"/>
          <w:szCs w:val="18"/>
        </w:rPr>
        <w:t>Artículo 303.- Inhabilitación definitiva.</w:t>
      </w:r>
    </w:p>
    <w:p w:rsidR="00CC31AC" w:rsidRPr="00910FD6" w:rsidRDefault="00CC31AC" w:rsidP="00CC31AC">
      <w:pPr>
        <w:pStyle w:val="Textonotapie"/>
        <w:rPr>
          <w:rFonts w:ascii="Tahoma" w:hAnsi="Tahoma" w:cs="Tahoma"/>
          <w:i/>
          <w:sz w:val="18"/>
          <w:szCs w:val="18"/>
        </w:rPr>
      </w:pPr>
      <w:r w:rsidRPr="00910FD6">
        <w:rPr>
          <w:rFonts w:ascii="Tahoma" w:hAnsi="Tahoma" w:cs="Tahoma"/>
          <w:i/>
          <w:sz w:val="18"/>
          <w:szCs w:val="18"/>
        </w:rPr>
        <w:t>Cuando durante la sustanciación de un procedimiento administrativo sancionador contra un proveedor, participante, postor, contratista o experto independiente, el Tribunal constate, además de la responsabilidad del infractor, que éste ha sido sancionado en oportunidades anteriores con inhabilitación temporal cuyo tiempo sumado sea mayor sea mayor a veinticuatro (24) meses dentro de un lapso de tres (3) años, le impondrá inhabilitación definitiva.</w:t>
      </w:r>
    </w:p>
    <w:p w:rsidR="00CC31AC" w:rsidRPr="00910FD6" w:rsidRDefault="00CC31AC" w:rsidP="00CC31AC">
      <w:pPr>
        <w:pStyle w:val="Textonotapie"/>
        <w:rPr>
          <w:rFonts w:ascii="Tahoma" w:hAnsi="Tahoma" w:cs="Tahoma"/>
          <w:i/>
          <w:sz w:val="18"/>
          <w:szCs w:val="18"/>
        </w:rPr>
      </w:pPr>
    </w:p>
  </w:footnote>
  <w:footnote w:id="7">
    <w:p w:rsidR="00CC31AC" w:rsidRPr="00910FD6" w:rsidRDefault="00CC31AC" w:rsidP="00CC31AC">
      <w:pPr>
        <w:pStyle w:val="Textonotapie"/>
        <w:rPr>
          <w:rFonts w:ascii="Tahoma" w:hAnsi="Tahoma" w:cs="Tahoma"/>
          <w:b/>
          <w:bCs/>
          <w:i/>
          <w:sz w:val="18"/>
          <w:szCs w:val="18"/>
        </w:rPr>
      </w:pPr>
      <w:r w:rsidRPr="00910FD6">
        <w:rPr>
          <w:rStyle w:val="Refdenotaalpie"/>
          <w:rFonts w:ascii="Tahoma" w:hAnsi="Tahoma" w:cs="Tahoma"/>
          <w:i/>
          <w:sz w:val="18"/>
          <w:szCs w:val="18"/>
        </w:rPr>
        <w:footnoteRef/>
      </w:r>
      <w:r w:rsidRPr="00910FD6">
        <w:rPr>
          <w:rFonts w:ascii="Tahoma" w:hAnsi="Tahoma" w:cs="Tahoma"/>
          <w:i/>
          <w:sz w:val="18"/>
          <w:szCs w:val="18"/>
        </w:rPr>
        <w:t xml:space="preserve"> </w:t>
      </w:r>
      <w:r w:rsidRPr="00910FD6">
        <w:rPr>
          <w:rFonts w:ascii="Tahoma" w:hAnsi="Tahoma" w:cs="Tahoma"/>
          <w:b/>
          <w:bCs/>
          <w:i/>
          <w:sz w:val="18"/>
          <w:szCs w:val="18"/>
        </w:rPr>
        <w:t>Artículo 246.- Inhabilitación definitiva.</w:t>
      </w:r>
    </w:p>
    <w:p w:rsidR="00CC31AC" w:rsidRPr="00910FD6" w:rsidRDefault="00CC31AC" w:rsidP="00CC31AC">
      <w:pPr>
        <w:pStyle w:val="Textonotapie"/>
        <w:rPr>
          <w:rFonts w:ascii="Tahoma" w:hAnsi="Tahoma" w:cs="Tahoma"/>
          <w:i/>
          <w:sz w:val="18"/>
          <w:szCs w:val="18"/>
        </w:rPr>
      </w:pPr>
      <w:r w:rsidRPr="00910FD6">
        <w:rPr>
          <w:rFonts w:ascii="Tahoma" w:hAnsi="Tahoma" w:cs="Tahoma"/>
          <w:i/>
          <w:sz w:val="18"/>
          <w:szCs w:val="18"/>
        </w:rPr>
        <w:t>Cuando durante la sustanciación de un procedimiento administrativo sancionador contra un proveedor, participante, postor, contratista o experto independiente, el Tribunal constate, además de la responsabilidad del infractor, que éste ha sido sancionado en oportunidades anteriores con inhabilitación temporal cuyo tiempo sumado sea mayor sea mayor a treinta y seis (36) meses dentro de un lapso de cuatro (4) años, le impondrá la sanción de inhabilitación definitiva.</w:t>
      </w:r>
    </w:p>
    <w:p w:rsidR="00CC31AC" w:rsidRPr="00910FD6" w:rsidRDefault="00CC31AC" w:rsidP="00CC31AC">
      <w:pPr>
        <w:pStyle w:val="Textonotapie"/>
        <w:rPr>
          <w:rFonts w:ascii="Tahoma" w:hAnsi="Tahoma" w:cs="Tahoma"/>
          <w:i/>
          <w:sz w:val="18"/>
          <w:szCs w:val="18"/>
        </w:rPr>
      </w:pPr>
    </w:p>
  </w:footnote>
  <w:footnote w:id="8">
    <w:p w:rsidR="00CC31AC" w:rsidRPr="00910FD6" w:rsidRDefault="00CC31AC" w:rsidP="00CC31AC">
      <w:pPr>
        <w:pStyle w:val="Textonotapie"/>
        <w:rPr>
          <w:rFonts w:ascii="Tahoma" w:hAnsi="Tahoma" w:cs="Tahoma"/>
          <w:i/>
          <w:sz w:val="18"/>
          <w:szCs w:val="18"/>
        </w:rPr>
      </w:pPr>
      <w:r w:rsidRPr="00910FD6">
        <w:rPr>
          <w:rStyle w:val="Refdenotaalpie"/>
          <w:rFonts w:ascii="Tahoma" w:hAnsi="Tahoma" w:cs="Tahoma"/>
          <w:i/>
          <w:sz w:val="18"/>
          <w:szCs w:val="18"/>
        </w:rPr>
        <w:footnoteRef/>
      </w:r>
      <w:r w:rsidRPr="00910FD6">
        <w:rPr>
          <w:rFonts w:ascii="Tahoma" w:hAnsi="Tahoma" w:cs="Tahoma"/>
          <w:i/>
          <w:sz w:val="18"/>
          <w:szCs w:val="18"/>
        </w:rPr>
        <w:t xml:space="preserve"> Aprobado por el Decreto Supremo Nº 184-2008-EF y vigente desde el 01 de febrero de 2009.</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45D3" w:rsidRDefault="00AC45D3" w:rsidP="00AC45D3">
    <w:pPr>
      <w:pStyle w:val="Encabezado"/>
      <w:rPr>
        <w:noProof/>
      </w:rPr>
    </w:pPr>
    <w:r>
      <w:rPr>
        <w:noProof/>
      </w:rPr>
      <w:drawing>
        <wp:anchor distT="0" distB="0" distL="114300" distR="114300" simplePos="0" relativeHeight="251658240" behindDoc="0" locked="0" layoutInCell="1" allowOverlap="1">
          <wp:simplePos x="0" y="0"/>
          <wp:positionH relativeFrom="column">
            <wp:posOffset>-334010</wp:posOffset>
          </wp:positionH>
          <wp:positionV relativeFrom="paragraph">
            <wp:posOffset>-69850</wp:posOffset>
          </wp:positionV>
          <wp:extent cx="6516370" cy="60515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6370" cy="605155"/>
                  </a:xfrm>
                  <a:prstGeom prst="rect">
                    <a:avLst/>
                  </a:prstGeom>
                  <a:noFill/>
                </pic:spPr>
              </pic:pic>
            </a:graphicData>
          </a:graphic>
        </wp:anchor>
      </w:drawing>
    </w:r>
  </w:p>
  <w:p w:rsidR="00AC45D3" w:rsidRDefault="00AC45D3" w:rsidP="00AC45D3">
    <w:pPr>
      <w:pStyle w:val="Encabezado"/>
      <w:rPr>
        <w:noProof/>
      </w:rPr>
    </w:pPr>
  </w:p>
  <w:p w:rsidR="00AC45D3" w:rsidRDefault="00AC45D3" w:rsidP="00AC45D3">
    <w:pPr>
      <w:pStyle w:val="Encabezado"/>
      <w:rPr>
        <w:noProof/>
      </w:rPr>
    </w:pPr>
  </w:p>
  <w:p w:rsidR="00AC45D3" w:rsidRDefault="00AC45D3" w:rsidP="00AC45D3">
    <w:pPr>
      <w:pStyle w:val="Encabezado"/>
      <w:rPr>
        <w:noProof/>
      </w:rPr>
    </w:pPr>
  </w:p>
  <w:p w:rsidR="00AC45D3" w:rsidRDefault="00AC45D3" w:rsidP="00AC45D3">
    <w:pPr>
      <w:pStyle w:val="Encabezado"/>
      <w:jc w:val="center"/>
    </w:pPr>
    <w:r>
      <w:rPr>
        <w:rFonts w:ascii="Monotype Corsiva" w:hAnsi="Monotype Corsiva"/>
        <w:b/>
        <w:sz w:val="44"/>
        <w:szCs w:val="44"/>
      </w:rPr>
      <w:t xml:space="preserve">Resolución Nº   </w:t>
    </w:r>
    <w:r>
      <w:rPr>
        <w:rFonts w:ascii="Tahoma" w:hAnsi="Tahoma" w:cs="Tahoma"/>
        <w:b/>
        <w:sz w:val="44"/>
        <w:szCs w:val="44"/>
      </w:rPr>
      <w:t>408-2011-TC-S1</w:t>
    </w:r>
  </w:p>
  <w:p w:rsidR="00AC45D3" w:rsidRDefault="00AC45D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F9396F"/>
    <w:multiLevelType w:val="hybridMultilevel"/>
    <w:tmpl w:val="DE0C2EBC"/>
    <w:lvl w:ilvl="0" w:tplc="6DF60CE4">
      <w:start w:val="1"/>
      <w:numFmt w:val="decimal"/>
      <w:lvlText w:val="%1."/>
      <w:lvlJc w:val="left"/>
      <w:pPr>
        <w:ind w:left="1287" w:hanging="360"/>
      </w:pPr>
      <w:rPr>
        <w:b/>
      </w:r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
    <w:nsid w:val="2DD2069F"/>
    <w:multiLevelType w:val="hybridMultilevel"/>
    <w:tmpl w:val="55364B2A"/>
    <w:lvl w:ilvl="0" w:tplc="4B0A20F0">
      <w:start w:val="1"/>
      <w:numFmt w:val="decimal"/>
      <w:lvlText w:val="%1."/>
      <w:lvlJc w:val="left"/>
      <w:pPr>
        <w:ind w:left="786" w:hanging="360"/>
      </w:pPr>
      <w:rPr>
        <w:rFonts w:hint="default"/>
        <w:b/>
        <w:sz w:val="20"/>
        <w:szCs w:val="2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373701B0"/>
    <w:multiLevelType w:val="hybridMultilevel"/>
    <w:tmpl w:val="7C207464"/>
    <w:lvl w:ilvl="0" w:tplc="11E629EC">
      <w:start w:val="1"/>
      <w:numFmt w:val="decimal"/>
      <w:lvlText w:val="%1."/>
      <w:lvlJc w:val="left"/>
      <w:pPr>
        <w:tabs>
          <w:tab w:val="num" w:pos="340"/>
        </w:tabs>
        <w:ind w:left="340" w:hanging="340"/>
      </w:pPr>
      <w:rPr>
        <w:rFonts w:ascii="Tahoma" w:hAnsi="Tahoma" w:cs="Times New Roman" w:hint="default"/>
        <w:b/>
        <w:i w:val="0"/>
        <w:sz w:val="20"/>
        <w:szCs w:val="20"/>
      </w:rPr>
    </w:lvl>
    <w:lvl w:ilvl="1" w:tplc="BEDC8DE4">
      <w:start w:val="1"/>
      <w:numFmt w:val="lowerLetter"/>
      <w:lvlText w:val="%2."/>
      <w:lvlJc w:val="left"/>
      <w:pPr>
        <w:tabs>
          <w:tab w:val="num" w:pos="1440"/>
        </w:tabs>
        <w:ind w:left="1440" w:hanging="360"/>
      </w:pPr>
      <w:rPr>
        <w:rFonts w:cs="Times New Roman" w:hint="default"/>
        <w:b/>
      </w:rPr>
    </w:lvl>
    <w:lvl w:ilvl="2" w:tplc="0C0A001B" w:tentative="1">
      <w:start w:val="1"/>
      <w:numFmt w:val="lowerRoman"/>
      <w:lvlText w:val="%3."/>
      <w:lvlJc w:val="right"/>
      <w:pPr>
        <w:tabs>
          <w:tab w:val="num" w:pos="2160"/>
        </w:tabs>
        <w:ind w:left="2160" w:hanging="180"/>
      </w:pPr>
      <w:rPr>
        <w:rFonts w:cs="Times New Roman"/>
      </w:rPr>
    </w:lvl>
    <w:lvl w:ilvl="3" w:tplc="0C0A001B">
      <w:start w:val="1"/>
      <w:numFmt w:val="lowerRoman"/>
      <w:lvlText w:val="%4."/>
      <w:lvlJc w:val="right"/>
      <w:pPr>
        <w:tabs>
          <w:tab w:val="num" w:pos="2880"/>
        </w:tabs>
        <w:ind w:left="2880" w:hanging="360"/>
      </w:pPr>
      <w:rPr>
        <w:rFonts w:cs="Times New Roman" w:hint="default"/>
        <w:b/>
        <w:i w:val="0"/>
        <w:sz w:val="20"/>
        <w:szCs w:val="20"/>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
    <w:nsid w:val="3AFB5C81"/>
    <w:multiLevelType w:val="hybridMultilevel"/>
    <w:tmpl w:val="306AC5BC"/>
    <w:lvl w:ilvl="0" w:tplc="C784CF10">
      <w:start w:val="1"/>
      <w:numFmt w:val="lowerLetter"/>
      <w:lvlText w:val="%1."/>
      <w:lvlJc w:val="left"/>
      <w:pPr>
        <w:ind w:left="786" w:hanging="360"/>
      </w:pPr>
      <w:rPr>
        <w:rFonts w:hint="default"/>
      </w:rPr>
    </w:lvl>
    <w:lvl w:ilvl="1" w:tplc="0C0A0019" w:tentative="1">
      <w:start w:val="1"/>
      <w:numFmt w:val="lowerLetter"/>
      <w:lvlText w:val="%2."/>
      <w:lvlJc w:val="left"/>
      <w:pPr>
        <w:ind w:left="1506" w:hanging="360"/>
      </w:pPr>
    </w:lvl>
    <w:lvl w:ilvl="2" w:tplc="0C0A001B" w:tentative="1">
      <w:start w:val="1"/>
      <w:numFmt w:val="lowerRoman"/>
      <w:lvlText w:val="%3."/>
      <w:lvlJc w:val="right"/>
      <w:pPr>
        <w:ind w:left="2226" w:hanging="180"/>
      </w:pPr>
    </w:lvl>
    <w:lvl w:ilvl="3" w:tplc="0C0A000F" w:tentative="1">
      <w:start w:val="1"/>
      <w:numFmt w:val="decimal"/>
      <w:lvlText w:val="%4."/>
      <w:lvlJc w:val="left"/>
      <w:pPr>
        <w:ind w:left="2946" w:hanging="360"/>
      </w:pPr>
    </w:lvl>
    <w:lvl w:ilvl="4" w:tplc="0C0A0019" w:tentative="1">
      <w:start w:val="1"/>
      <w:numFmt w:val="lowerLetter"/>
      <w:lvlText w:val="%5."/>
      <w:lvlJc w:val="left"/>
      <w:pPr>
        <w:ind w:left="3666" w:hanging="360"/>
      </w:pPr>
    </w:lvl>
    <w:lvl w:ilvl="5" w:tplc="0C0A001B" w:tentative="1">
      <w:start w:val="1"/>
      <w:numFmt w:val="lowerRoman"/>
      <w:lvlText w:val="%6."/>
      <w:lvlJc w:val="right"/>
      <w:pPr>
        <w:ind w:left="4386" w:hanging="180"/>
      </w:pPr>
    </w:lvl>
    <w:lvl w:ilvl="6" w:tplc="0C0A000F" w:tentative="1">
      <w:start w:val="1"/>
      <w:numFmt w:val="decimal"/>
      <w:lvlText w:val="%7."/>
      <w:lvlJc w:val="left"/>
      <w:pPr>
        <w:ind w:left="5106" w:hanging="360"/>
      </w:pPr>
    </w:lvl>
    <w:lvl w:ilvl="7" w:tplc="0C0A0019" w:tentative="1">
      <w:start w:val="1"/>
      <w:numFmt w:val="lowerLetter"/>
      <w:lvlText w:val="%8."/>
      <w:lvlJc w:val="left"/>
      <w:pPr>
        <w:ind w:left="5826" w:hanging="360"/>
      </w:pPr>
    </w:lvl>
    <w:lvl w:ilvl="8" w:tplc="0C0A001B" w:tentative="1">
      <w:start w:val="1"/>
      <w:numFmt w:val="lowerRoman"/>
      <w:lvlText w:val="%9."/>
      <w:lvlJc w:val="right"/>
      <w:pPr>
        <w:ind w:left="6546" w:hanging="180"/>
      </w:pPr>
    </w:lvl>
  </w:abstractNum>
  <w:abstractNum w:abstractNumId="4">
    <w:nsid w:val="42AA381B"/>
    <w:multiLevelType w:val="hybridMultilevel"/>
    <w:tmpl w:val="5D444BE2"/>
    <w:lvl w:ilvl="0" w:tplc="42BC8872">
      <w:start w:val="1"/>
      <w:numFmt w:val="decimal"/>
      <w:lvlText w:val="%1."/>
      <w:lvlJc w:val="left"/>
      <w:pPr>
        <w:tabs>
          <w:tab w:val="num" w:pos="928"/>
        </w:tabs>
        <w:ind w:left="928" w:hanging="360"/>
      </w:pPr>
      <w:rPr>
        <w:rFonts w:hint="default"/>
        <w:b/>
      </w:rPr>
    </w:lvl>
    <w:lvl w:ilvl="1" w:tplc="0C0A0019" w:tentative="1">
      <w:start w:val="1"/>
      <w:numFmt w:val="lowerLetter"/>
      <w:lvlText w:val="%2."/>
      <w:lvlJc w:val="left"/>
      <w:pPr>
        <w:tabs>
          <w:tab w:val="num" w:pos="1648"/>
        </w:tabs>
        <w:ind w:left="1648" w:hanging="360"/>
      </w:pPr>
    </w:lvl>
    <w:lvl w:ilvl="2" w:tplc="0C0A001B" w:tentative="1">
      <w:start w:val="1"/>
      <w:numFmt w:val="lowerRoman"/>
      <w:lvlText w:val="%3."/>
      <w:lvlJc w:val="right"/>
      <w:pPr>
        <w:tabs>
          <w:tab w:val="num" w:pos="2368"/>
        </w:tabs>
        <w:ind w:left="2368" w:hanging="180"/>
      </w:pPr>
    </w:lvl>
    <w:lvl w:ilvl="3" w:tplc="0C0A000F" w:tentative="1">
      <w:start w:val="1"/>
      <w:numFmt w:val="decimal"/>
      <w:lvlText w:val="%4."/>
      <w:lvlJc w:val="left"/>
      <w:pPr>
        <w:tabs>
          <w:tab w:val="num" w:pos="3088"/>
        </w:tabs>
        <w:ind w:left="3088" w:hanging="360"/>
      </w:pPr>
    </w:lvl>
    <w:lvl w:ilvl="4" w:tplc="0C0A0019" w:tentative="1">
      <w:start w:val="1"/>
      <w:numFmt w:val="lowerLetter"/>
      <w:lvlText w:val="%5."/>
      <w:lvlJc w:val="left"/>
      <w:pPr>
        <w:tabs>
          <w:tab w:val="num" w:pos="3808"/>
        </w:tabs>
        <w:ind w:left="3808" w:hanging="360"/>
      </w:pPr>
    </w:lvl>
    <w:lvl w:ilvl="5" w:tplc="0C0A001B" w:tentative="1">
      <w:start w:val="1"/>
      <w:numFmt w:val="lowerRoman"/>
      <w:lvlText w:val="%6."/>
      <w:lvlJc w:val="right"/>
      <w:pPr>
        <w:tabs>
          <w:tab w:val="num" w:pos="4528"/>
        </w:tabs>
        <w:ind w:left="4528" w:hanging="180"/>
      </w:pPr>
    </w:lvl>
    <w:lvl w:ilvl="6" w:tplc="0C0A000F" w:tentative="1">
      <w:start w:val="1"/>
      <w:numFmt w:val="decimal"/>
      <w:lvlText w:val="%7."/>
      <w:lvlJc w:val="left"/>
      <w:pPr>
        <w:tabs>
          <w:tab w:val="num" w:pos="5248"/>
        </w:tabs>
        <w:ind w:left="5248" w:hanging="360"/>
      </w:pPr>
    </w:lvl>
    <w:lvl w:ilvl="7" w:tplc="0C0A0019" w:tentative="1">
      <w:start w:val="1"/>
      <w:numFmt w:val="lowerLetter"/>
      <w:lvlText w:val="%8."/>
      <w:lvlJc w:val="left"/>
      <w:pPr>
        <w:tabs>
          <w:tab w:val="num" w:pos="5968"/>
        </w:tabs>
        <w:ind w:left="5968" w:hanging="360"/>
      </w:pPr>
    </w:lvl>
    <w:lvl w:ilvl="8" w:tplc="0C0A001B" w:tentative="1">
      <w:start w:val="1"/>
      <w:numFmt w:val="lowerRoman"/>
      <w:lvlText w:val="%9."/>
      <w:lvlJc w:val="right"/>
      <w:pPr>
        <w:tabs>
          <w:tab w:val="num" w:pos="6688"/>
        </w:tabs>
        <w:ind w:left="6688" w:hanging="180"/>
      </w:pPr>
    </w:lvl>
  </w:abstractNum>
  <w:abstractNum w:abstractNumId="5">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nsid w:val="53966D03"/>
    <w:multiLevelType w:val="hybridMultilevel"/>
    <w:tmpl w:val="6CB4BA48"/>
    <w:lvl w:ilvl="0" w:tplc="D95AD4BE">
      <w:start w:val="1"/>
      <w:numFmt w:val="upperRoman"/>
      <w:lvlText w:val="%1."/>
      <w:lvlJc w:val="left"/>
      <w:pPr>
        <w:ind w:left="1080" w:hanging="720"/>
      </w:pPr>
      <w:rPr>
        <w:rFonts w:cs="Times New Roman"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7">
    <w:nsid w:val="674E6DDC"/>
    <w:multiLevelType w:val="hybridMultilevel"/>
    <w:tmpl w:val="A01257EC"/>
    <w:lvl w:ilvl="0" w:tplc="4BF6AD28">
      <w:start w:val="1"/>
      <w:numFmt w:val="decimal"/>
      <w:lvlText w:val="%1."/>
      <w:lvlJc w:val="left"/>
      <w:pPr>
        <w:ind w:left="900" w:hanging="360"/>
      </w:pPr>
      <w:rPr>
        <w:rFonts w:hint="default"/>
        <w:b/>
        <w:i w:val="0"/>
      </w:rPr>
    </w:lvl>
    <w:lvl w:ilvl="1" w:tplc="0C0A0019" w:tentative="1">
      <w:start w:val="1"/>
      <w:numFmt w:val="lowerLetter"/>
      <w:lvlText w:val="%2."/>
      <w:lvlJc w:val="left"/>
      <w:pPr>
        <w:ind w:left="1620" w:hanging="360"/>
      </w:pPr>
    </w:lvl>
    <w:lvl w:ilvl="2" w:tplc="0C0A001B" w:tentative="1">
      <w:start w:val="1"/>
      <w:numFmt w:val="lowerRoman"/>
      <w:lvlText w:val="%3."/>
      <w:lvlJc w:val="right"/>
      <w:pPr>
        <w:ind w:left="2340" w:hanging="180"/>
      </w:pPr>
    </w:lvl>
    <w:lvl w:ilvl="3" w:tplc="0C0A000F" w:tentative="1">
      <w:start w:val="1"/>
      <w:numFmt w:val="decimal"/>
      <w:lvlText w:val="%4."/>
      <w:lvlJc w:val="left"/>
      <w:pPr>
        <w:ind w:left="3060" w:hanging="360"/>
      </w:pPr>
    </w:lvl>
    <w:lvl w:ilvl="4" w:tplc="0C0A0019" w:tentative="1">
      <w:start w:val="1"/>
      <w:numFmt w:val="lowerLetter"/>
      <w:lvlText w:val="%5."/>
      <w:lvlJc w:val="left"/>
      <w:pPr>
        <w:ind w:left="3780" w:hanging="360"/>
      </w:pPr>
    </w:lvl>
    <w:lvl w:ilvl="5" w:tplc="0C0A001B" w:tentative="1">
      <w:start w:val="1"/>
      <w:numFmt w:val="lowerRoman"/>
      <w:lvlText w:val="%6."/>
      <w:lvlJc w:val="right"/>
      <w:pPr>
        <w:ind w:left="4500" w:hanging="180"/>
      </w:pPr>
    </w:lvl>
    <w:lvl w:ilvl="6" w:tplc="0C0A000F" w:tentative="1">
      <w:start w:val="1"/>
      <w:numFmt w:val="decimal"/>
      <w:lvlText w:val="%7."/>
      <w:lvlJc w:val="left"/>
      <w:pPr>
        <w:ind w:left="5220" w:hanging="360"/>
      </w:pPr>
    </w:lvl>
    <w:lvl w:ilvl="7" w:tplc="0C0A0019" w:tentative="1">
      <w:start w:val="1"/>
      <w:numFmt w:val="lowerLetter"/>
      <w:lvlText w:val="%8."/>
      <w:lvlJc w:val="left"/>
      <w:pPr>
        <w:ind w:left="5940" w:hanging="360"/>
      </w:pPr>
    </w:lvl>
    <w:lvl w:ilvl="8" w:tplc="0C0A001B" w:tentative="1">
      <w:start w:val="1"/>
      <w:numFmt w:val="lowerRoman"/>
      <w:lvlText w:val="%9."/>
      <w:lvlJc w:val="right"/>
      <w:pPr>
        <w:ind w:left="6660" w:hanging="180"/>
      </w:pPr>
    </w:lvl>
  </w:abstractNum>
  <w:num w:numId="1">
    <w:abstractNumId w:val="5"/>
  </w:num>
  <w:num w:numId="2">
    <w:abstractNumId w:val="2"/>
  </w:num>
  <w:num w:numId="3">
    <w:abstractNumId w:val="6"/>
  </w:num>
  <w:num w:numId="4">
    <w:abstractNumId w:val="7"/>
  </w:num>
  <w:num w:numId="5">
    <w:abstractNumId w:val="0"/>
  </w:num>
  <w:num w:numId="6">
    <w:abstractNumId w:val="3"/>
  </w:num>
  <w:num w:numId="7">
    <w:abstractNumId w:val="1"/>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6F3F00"/>
    <w:rsid w:val="00196655"/>
    <w:rsid w:val="001E3FAE"/>
    <w:rsid w:val="00496AD0"/>
    <w:rsid w:val="005925B2"/>
    <w:rsid w:val="006F3F00"/>
    <w:rsid w:val="00A96CDF"/>
    <w:rsid w:val="00AC45D3"/>
    <w:rsid w:val="00C4286B"/>
    <w:rsid w:val="00CC31AC"/>
    <w:rsid w:val="00EC6C77"/>
    <w:rsid w:val="00F6071A"/>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3F00"/>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6F3F00"/>
    <w:pPr>
      <w:spacing w:after="120"/>
    </w:pPr>
    <w:rPr>
      <w:sz w:val="16"/>
      <w:szCs w:val="16"/>
      <w:lang w:val="es-PE"/>
    </w:rPr>
  </w:style>
  <w:style w:type="character" w:customStyle="1" w:styleId="Textoindependiente3Car">
    <w:name w:val="Texto independiente 3 Car"/>
    <w:basedOn w:val="Fuentedeprrafopredeter"/>
    <w:link w:val="Textoindependiente3"/>
    <w:rsid w:val="006F3F00"/>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6F3F00"/>
    <w:pPr>
      <w:jc w:val="both"/>
    </w:pPr>
    <w:rPr>
      <w:rFonts w:ascii="Tahoma" w:hAnsi="Tahoma"/>
      <w:sz w:val="22"/>
      <w:szCs w:val="20"/>
    </w:rPr>
  </w:style>
  <w:style w:type="paragraph" w:styleId="Prrafodelista">
    <w:name w:val="List Paragraph"/>
    <w:basedOn w:val="Normal"/>
    <w:uiPriority w:val="34"/>
    <w:qFormat/>
    <w:rsid w:val="006F3F00"/>
    <w:pPr>
      <w:widowControl w:val="0"/>
      <w:suppressAutoHyphens/>
      <w:ind w:left="708"/>
    </w:pPr>
    <w:rPr>
      <w:szCs w:val="20"/>
      <w:lang w:val="es-ES_tradnl"/>
    </w:rPr>
  </w:style>
  <w:style w:type="paragraph" w:styleId="Piedepgina">
    <w:name w:val="footer"/>
    <w:basedOn w:val="Normal"/>
    <w:link w:val="PiedepginaCar"/>
    <w:uiPriority w:val="99"/>
    <w:unhideWhenUsed/>
    <w:rsid w:val="006F3F00"/>
    <w:pPr>
      <w:tabs>
        <w:tab w:val="center" w:pos="4252"/>
        <w:tab w:val="right" w:pos="8504"/>
      </w:tabs>
    </w:pPr>
  </w:style>
  <w:style w:type="character" w:customStyle="1" w:styleId="PiedepginaCar">
    <w:name w:val="Pie de página Car"/>
    <w:basedOn w:val="Fuentedeprrafopredeter"/>
    <w:link w:val="Piedepgina"/>
    <w:uiPriority w:val="99"/>
    <w:rsid w:val="006F3F00"/>
    <w:rPr>
      <w:rFonts w:ascii="Times New Roman" w:eastAsia="Times New Roman" w:hAnsi="Times New Roman" w:cs="Times New Roman"/>
      <w:sz w:val="24"/>
      <w:szCs w:val="24"/>
      <w:lang w:eastAsia="es-ES"/>
    </w:rPr>
  </w:style>
  <w:style w:type="paragraph" w:styleId="Textonotapie">
    <w:name w:val="footnote text"/>
    <w:aliases w:val="Car,Car Car Car,Car4, Car,Car Car1,Texto nota pie1,Texto independiente1, Car4,Body Text,Texto independiente11, Car2 Car Car Car Car Car, Car2 Car, Car2, Car1 Car, Car2 Car1 Car, Car Car Car, Car1,Car1 Car Car,Car1 Car,Texto independiente2"/>
    <w:basedOn w:val="Normal"/>
    <w:link w:val="TextonotapieCar"/>
    <w:rsid w:val="006F3F00"/>
    <w:rPr>
      <w:sz w:val="20"/>
      <w:szCs w:val="20"/>
    </w:rPr>
  </w:style>
  <w:style w:type="character" w:customStyle="1" w:styleId="TextonotapieCar">
    <w:name w:val="Texto nota pie Car"/>
    <w:aliases w:val="Car Car,Car Car Car Car,Car4 Car, Car Car,Car Car1 Car,Texto nota pie1 Car,Texto independiente1 Car, Car4 Car,Body Text Car,Texto independiente11 Car, Car2 Car Car Car Car Car Car, Car2 Car Car, Car2 Car1, Car1 Car Car, Car1 Car1"/>
    <w:basedOn w:val="Fuentedeprrafopredeter"/>
    <w:link w:val="Textonotapie"/>
    <w:rsid w:val="006F3F00"/>
    <w:rPr>
      <w:rFonts w:ascii="Times New Roman" w:eastAsia="Times New Roman" w:hAnsi="Times New Roman" w:cs="Times New Roman"/>
      <w:sz w:val="20"/>
      <w:szCs w:val="20"/>
      <w:lang w:eastAsia="es-ES"/>
    </w:rPr>
  </w:style>
  <w:style w:type="character" w:styleId="Refdenotaalpie">
    <w:name w:val="footnote reference"/>
    <w:basedOn w:val="Fuentedeprrafopredeter"/>
    <w:rsid w:val="006F3F00"/>
    <w:rPr>
      <w:rFonts w:cs="Times New Roman"/>
      <w:vertAlign w:val="superscript"/>
    </w:rPr>
  </w:style>
  <w:style w:type="paragraph" w:styleId="Sangradetextonormal">
    <w:name w:val="Body Text Indent"/>
    <w:basedOn w:val="Normal"/>
    <w:link w:val="SangradetextonormalCar"/>
    <w:uiPriority w:val="99"/>
    <w:rsid w:val="006F3F00"/>
    <w:pPr>
      <w:spacing w:after="120"/>
      <w:ind w:left="283"/>
    </w:pPr>
  </w:style>
  <w:style w:type="character" w:customStyle="1" w:styleId="SangradetextonormalCar">
    <w:name w:val="Sangría de texto normal Car"/>
    <w:basedOn w:val="Fuentedeprrafopredeter"/>
    <w:link w:val="Sangradetextonormal"/>
    <w:uiPriority w:val="99"/>
    <w:rsid w:val="006F3F00"/>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rsid w:val="006F3F00"/>
    <w:pPr>
      <w:spacing w:after="120"/>
    </w:pPr>
  </w:style>
  <w:style w:type="character" w:customStyle="1" w:styleId="TextoindependienteCar">
    <w:name w:val="Texto independiente Car"/>
    <w:basedOn w:val="Fuentedeprrafopredeter"/>
    <w:link w:val="Textoindependiente"/>
    <w:uiPriority w:val="99"/>
    <w:rsid w:val="006F3F00"/>
    <w:rPr>
      <w:rFonts w:ascii="Times New Roman" w:eastAsia="Times New Roman" w:hAnsi="Times New Roman" w:cs="Times New Roman"/>
      <w:sz w:val="24"/>
      <w:szCs w:val="24"/>
      <w:lang w:eastAsia="es-ES"/>
    </w:rPr>
  </w:style>
  <w:style w:type="paragraph" w:customStyle="1" w:styleId="p1">
    <w:name w:val="p1"/>
    <w:basedOn w:val="Normal"/>
    <w:rsid w:val="006F3F00"/>
    <w:pPr>
      <w:widowControl w:val="0"/>
      <w:tabs>
        <w:tab w:val="left" w:pos="16640"/>
      </w:tabs>
      <w:suppressAutoHyphens/>
      <w:spacing w:line="240" w:lineRule="atLeast"/>
      <w:ind w:left="7600"/>
      <w:jc w:val="both"/>
    </w:pPr>
    <w:rPr>
      <w:rFonts w:ascii="Times" w:hAnsi="Times"/>
      <w:szCs w:val="20"/>
      <w:lang w:eastAsia="ar-SA"/>
    </w:rPr>
  </w:style>
  <w:style w:type="paragraph" w:styleId="Lista3">
    <w:name w:val="List 3"/>
    <w:basedOn w:val="Normal"/>
    <w:uiPriority w:val="99"/>
    <w:unhideWhenUsed/>
    <w:rsid w:val="001E3FAE"/>
    <w:pPr>
      <w:spacing w:after="200" w:line="276" w:lineRule="auto"/>
      <w:ind w:left="849" w:hanging="283"/>
      <w:contextualSpacing/>
    </w:pPr>
    <w:rPr>
      <w:rFonts w:ascii="Calibri" w:eastAsia="Calibri" w:hAnsi="Calibri"/>
      <w:sz w:val="22"/>
      <w:szCs w:val="22"/>
      <w:lang w:eastAsia="en-US"/>
    </w:rPr>
  </w:style>
  <w:style w:type="paragraph" w:styleId="Sinespaciado">
    <w:name w:val="No Spacing"/>
    <w:uiPriority w:val="1"/>
    <w:qFormat/>
    <w:rsid w:val="001E3FAE"/>
    <w:pPr>
      <w:spacing w:after="0" w:line="240" w:lineRule="auto"/>
    </w:pPr>
    <w:rPr>
      <w:rFonts w:ascii="Calibri" w:eastAsia="Times New Roman" w:hAnsi="Calibri" w:cs="Times New Roman"/>
      <w:lang w:eastAsia="es-ES"/>
    </w:rPr>
  </w:style>
  <w:style w:type="paragraph" w:styleId="HTMLconformatoprevio">
    <w:name w:val="HTML Preformatted"/>
    <w:basedOn w:val="Normal"/>
    <w:link w:val="HTMLconformatoprevioCar"/>
    <w:rsid w:val="001E3F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0"/>
      <w:szCs w:val="20"/>
    </w:rPr>
  </w:style>
  <w:style w:type="character" w:customStyle="1" w:styleId="HTMLconformatoprevioCar">
    <w:name w:val="HTML con formato previo Car"/>
    <w:basedOn w:val="Fuentedeprrafopredeter"/>
    <w:link w:val="HTMLconformatoprevio"/>
    <w:rsid w:val="001E3FAE"/>
    <w:rPr>
      <w:rFonts w:ascii="Courier New" w:eastAsia="Times New Roman" w:hAnsi="Courier New" w:cs="Courier New"/>
      <w:color w:val="000000"/>
      <w:sz w:val="20"/>
      <w:szCs w:val="20"/>
      <w:lang w:eastAsia="es-ES"/>
    </w:rPr>
  </w:style>
  <w:style w:type="paragraph" w:styleId="Encabezado">
    <w:name w:val="header"/>
    <w:aliases w:val="maria,h"/>
    <w:basedOn w:val="Normal"/>
    <w:link w:val="EncabezadoCar"/>
    <w:uiPriority w:val="99"/>
    <w:semiHidden/>
    <w:unhideWhenUsed/>
    <w:rsid w:val="00AC45D3"/>
    <w:pPr>
      <w:tabs>
        <w:tab w:val="center" w:pos="4252"/>
        <w:tab w:val="right" w:pos="8504"/>
      </w:tabs>
    </w:pPr>
  </w:style>
  <w:style w:type="character" w:customStyle="1" w:styleId="EncabezadoCar">
    <w:name w:val="Encabezado Car"/>
    <w:aliases w:val="maria Car,h Car"/>
    <w:basedOn w:val="Fuentedeprrafopredeter"/>
    <w:link w:val="Encabezado"/>
    <w:uiPriority w:val="99"/>
    <w:semiHidden/>
    <w:rsid w:val="00AC45D3"/>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026325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27</TotalTime>
  <Pages>7</Pages>
  <Words>2361</Words>
  <Characters>12987</Characters>
  <Application>Microsoft Office Word</Application>
  <DocSecurity>0</DocSecurity>
  <Lines>108</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15318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mcervantes</dc:creator>
  <cp:keywords/>
  <dc:description/>
  <cp:lastModifiedBy>bcaceres</cp:lastModifiedBy>
  <cp:revision>3</cp:revision>
  <dcterms:created xsi:type="dcterms:W3CDTF">2011-03-08T15:31:00Z</dcterms:created>
  <dcterms:modified xsi:type="dcterms:W3CDTF">2011-04-06T16:29:00Z</dcterms:modified>
</cp:coreProperties>
</file>